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F8C" w:rsidRPr="004F1F8C" w:rsidRDefault="004F1F8C" w:rsidP="004F1F8C">
      <w:pPr>
        <w:autoSpaceDE w:val="0"/>
        <w:autoSpaceDN w:val="0"/>
        <w:adjustRightInd w:val="0"/>
        <w:spacing w:after="0" w:line="240" w:lineRule="auto"/>
        <w:rPr>
          <w:rFonts w:ascii="Times New Roman" w:hAnsi="Times New Roman" w:cs="Times New Roman"/>
          <w:color w:val="000000"/>
          <w:sz w:val="24"/>
          <w:szCs w:val="24"/>
        </w:rPr>
      </w:pPr>
    </w:p>
    <w:p w:rsidR="004F1F8C" w:rsidRDefault="004F1F8C" w:rsidP="004F1F8C">
      <w:pPr>
        <w:autoSpaceDE w:val="0"/>
        <w:autoSpaceDN w:val="0"/>
        <w:adjustRightInd w:val="0"/>
        <w:spacing w:after="0" w:line="240" w:lineRule="auto"/>
        <w:jc w:val="center"/>
        <w:rPr>
          <w:rFonts w:ascii="Times New Roman" w:hAnsi="Times New Roman" w:cs="Times New Roman"/>
          <w:sz w:val="24"/>
          <w:szCs w:val="24"/>
        </w:rPr>
      </w:pPr>
      <w:r w:rsidRPr="004F1F8C">
        <w:rPr>
          <w:rFonts w:ascii="Times New Roman" w:hAnsi="Times New Roman" w:cs="Times New Roman"/>
          <w:sz w:val="24"/>
          <w:szCs w:val="24"/>
        </w:rPr>
        <w:t xml:space="preserve"> </w:t>
      </w:r>
    </w:p>
    <w:p w:rsidR="004F1F8C" w:rsidRDefault="004F1F8C" w:rsidP="004F1F8C">
      <w:pPr>
        <w:autoSpaceDE w:val="0"/>
        <w:autoSpaceDN w:val="0"/>
        <w:adjustRightInd w:val="0"/>
        <w:spacing w:after="0" w:line="240" w:lineRule="auto"/>
        <w:jc w:val="center"/>
        <w:rPr>
          <w:rFonts w:ascii="Times New Roman" w:hAnsi="Times New Roman" w:cs="Times New Roman"/>
          <w:sz w:val="24"/>
          <w:szCs w:val="24"/>
        </w:rPr>
      </w:pPr>
    </w:p>
    <w:p w:rsidR="004F1F8C" w:rsidRDefault="004F1F8C" w:rsidP="004F1F8C">
      <w:pPr>
        <w:autoSpaceDE w:val="0"/>
        <w:autoSpaceDN w:val="0"/>
        <w:adjustRightInd w:val="0"/>
        <w:spacing w:after="0" w:line="240" w:lineRule="auto"/>
        <w:jc w:val="center"/>
        <w:rPr>
          <w:rFonts w:ascii="Times New Roman" w:hAnsi="Times New Roman" w:cs="Times New Roman"/>
          <w:sz w:val="24"/>
          <w:szCs w:val="24"/>
        </w:rPr>
      </w:pPr>
    </w:p>
    <w:p w:rsidR="004F1F8C" w:rsidRDefault="004F1F8C" w:rsidP="004F1F8C">
      <w:pPr>
        <w:autoSpaceDE w:val="0"/>
        <w:autoSpaceDN w:val="0"/>
        <w:adjustRightInd w:val="0"/>
        <w:spacing w:after="0" w:line="240" w:lineRule="auto"/>
        <w:jc w:val="center"/>
        <w:rPr>
          <w:rFonts w:ascii="Times New Roman" w:hAnsi="Times New Roman" w:cs="Times New Roman"/>
          <w:sz w:val="24"/>
          <w:szCs w:val="24"/>
        </w:rPr>
      </w:pPr>
    </w:p>
    <w:p w:rsidR="004F1F8C" w:rsidRDefault="004F1F8C" w:rsidP="004F1F8C">
      <w:pPr>
        <w:autoSpaceDE w:val="0"/>
        <w:autoSpaceDN w:val="0"/>
        <w:adjustRightInd w:val="0"/>
        <w:spacing w:after="0" w:line="240" w:lineRule="auto"/>
        <w:jc w:val="center"/>
        <w:rPr>
          <w:rFonts w:ascii="Times New Roman" w:hAnsi="Times New Roman" w:cs="Times New Roman"/>
          <w:sz w:val="24"/>
          <w:szCs w:val="24"/>
        </w:rPr>
      </w:pPr>
    </w:p>
    <w:p w:rsidR="004F1F8C" w:rsidRDefault="004F1F8C" w:rsidP="004F1F8C">
      <w:pPr>
        <w:autoSpaceDE w:val="0"/>
        <w:autoSpaceDN w:val="0"/>
        <w:adjustRightInd w:val="0"/>
        <w:spacing w:after="0" w:line="240" w:lineRule="auto"/>
        <w:jc w:val="center"/>
        <w:rPr>
          <w:rFonts w:ascii="Times New Roman" w:hAnsi="Times New Roman" w:cs="Times New Roman"/>
          <w:sz w:val="24"/>
          <w:szCs w:val="24"/>
        </w:rPr>
      </w:pPr>
    </w:p>
    <w:p w:rsidR="004F1F8C" w:rsidRDefault="004F1F8C" w:rsidP="004F1F8C">
      <w:pPr>
        <w:autoSpaceDE w:val="0"/>
        <w:autoSpaceDN w:val="0"/>
        <w:adjustRightInd w:val="0"/>
        <w:spacing w:after="0" w:line="240" w:lineRule="auto"/>
        <w:jc w:val="center"/>
        <w:rPr>
          <w:rFonts w:ascii="Times New Roman" w:hAnsi="Times New Roman" w:cs="Times New Roman"/>
          <w:sz w:val="24"/>
          <w:szCs w:val="24"/>
        </w:rPr>
      </w:pPr>
    </w:p>
    <w:p w:rsidR="004F1F8C" w:rsidRPr="004F1F8C" w:rsidRDefault="004F1F8C" w:rsidP="004F1F8C">
      <w:pPr>
        <w:autoSpaceDE w:val="0"/>
        <w:autoSpaceDN w:val="0"/>
        <w:adjustRightInd w:val="0"/>
        <w:spacing w:after="0" w:line="240" w:lineRule="auto"/>
        <w:jc w:val="center"/>
        <w:rPr>
          <w:rFonts w:ascii="Times New Roman" w:hAnsi="Times New Roman" w:cs="Times New Roman"/>
          <w:color w:val="000000"/>
          <w:sz w:val="32"/>
          <w:szCs w:val="32"/>
        </w:rPr>
      </w:pPr>
      <w:r w:rsidRPr="004F1F8C">
        <w:rPr>
          <w:rFonts w:ascii="Times New Roman" w:hAnsi="Times New Roman" w:cs="Times New Roman"/>
          <w:b/>
          <w:bCs/>
          <w:color w:val="000000"/>
          <w:sz w:val="32"/>
          <w:szCs w:val="32"/>
        </w:rPr>
        <w:t xml:space="preserve">Appendix B-1 </w:t>
      </w:r>
    </w:p>
    <w:p w:rsidR="004F1F8C" w:rsidRPr="004F1F8C" w:rsidRDefault="004F1F8C" w:rsidP="004F1F8C">
      <w:pPr>
        <w:autoSpaceDE w:val="0"/>
        <w:autoSpaceDN w:val="0"/>
        <w:adjustRightInd w:val="0"/>
        <w:spacing w:after="0" w:line="240" w:lineRule="auto"/>
        <w:jc w:val="center"/>
        <w:rPr>
          <w:rFonts w:ascii="Times New Roman" w:hAnsi="Times New Roman" w:cs="Times New Roman"/>
          <w:color w:val="000000"/>
          <w:sz w:val="28"/>
          <w:szCs w:val="28"/>
        </w:rPr>
      </w:pPr>
      <w:r w:rsidRPr="004F1F8C">
        <w:rPr>
          <w:rFonts w:ascii="Times New Roman" w:hAnsi="Times New Roman" w:cs="Times New Roman"/>
          <w:b/>
          <w:bCs/>
          <w:color w:val="000000"/>
          <w:sz w:val="28"/>
          <w:szCs w:val="28"/>
        </w:rPr>
        <w:t xml:space="preserve">40 CFR 63, Subpart II </w:t>
      </w:r>
    </w:p>
    <w:p w:rsidR="004F1F8C" w:rsidRDefault="004F1F8C" w:rsidP="004F1F8C">
      <w:pPr>
        <w:jc w:val="center"/>
        <w:rPr>
          <w:rFonts w:ascii="Times New Roman" w:hAnsi="Times New Roman" w:cs="Times New Roman"/>
          <w:b/>
          <w:bCs/>
          <w:color w:val="000000"/>
          <w:sz w:val="28"/>
          <w:szCs w:val="28"/>
        </w:rPr>
      </w:pPr>
      <w:r w:rsidRPr="004F1F8C">
        <w:rPr>
          <w:rFonts w:ascii="Times New Roman" w:hAnsi="Times New Roman" w:cs="Times New Roman"/>
          <w:b/>
          <w:bCs/>
          <w:color w:val="000000"/>
          <w:sz w:val="28"/>
          <w:szCs w:val="28"/>
        </w:rPr>
        <w:t xml:space="preserve">Tables </w:t>
      </w:r>
      <w:proofErr w:type="gramStart"/>
      <w:r w:rsidRPr="004F1F8C">
        <w:rPr>
          <w:rFonts w:ascii="Times New Roman" w:hAnsi="Times New Roman" w:cs="Times New Roman"/>
          <w:b/>
          <w:bCs/>
          <w:color w:val="000000"/>
          <w:sz w:val="28"/>
          <w:szCs w:val="28"/>
        </w:rPr>
        <w:t>1.,</w:t>
      </w:r>
      <w:proofErr w:type="gramEnd"/>
      <w:r w:rsidRPr="004F1F8C">
        <w:rPr>
          <w:rFonts w:ascii="Times New Roman" w:hAnsi="Times New Roman" w:cs="Times New Roman"/>
          <w:b/>
          <w:bCs/>
          <w:color w:val="000000"/>
          <w:sz w:val="28"/>
          <w:szCs w:val="28"/>
        </w:rPr>
        <w:t xml:space="preserve"> 2., &amp; 3., and Appendix A</w:t>
      </w:r>
    </w:p>
    <w:p w:rsidR="004F1F8C" w:rsidRDefault="004F1F8C">
      <w:pPr>
        <w:rPr>
          <w:rFonts w:ascii="Times New Roman" w:hAnsi="Times New Roman" w:cs="Times New Roman"/>
          <w:b/>
          <w:bCs/>
          <w:color w:val="000000"/>
          <w:sz w:val="28"/>
          <w:szCs w:val="28"/>
        </w:rPr>
      </w:pPr>
      <w:r>
        <w:rPr>
          <w:rFonts w:ascii="Times New Roman" w:hAnsi="Times New Roman" w:cs="Times New Roman"/>
          <w:b/>
          <w:bCs/>
          <w:color w:val="000000"/>
          <w:sz w:val="28"/>
          <w:szCs w:val="28"/>
        </w:rPr>
        <w:br w:type="page"/>
      </w:r>
    </w:p>
    <w:p w:rsidR="004F1F8C" w:rsidRPr="004F1F8C" w:rsidRDefault="004F1F8C" w:rsidP="004F1F8C">
      <w:pPr>
        <w:spacing w:before="200" w:line="240" w:lineRule="auto"/>
        <w:jc w:val="center"/>
        <w:outlineLvl w:val="1"/>
        <w:rPr>
          <w:rFonts w:ascii="Arial" w:eastAsia="Times New Roman" w:hAnsi="Arial" w:cs="Arial"/>
          <w:bCs/>
        </w:rPr>
      </w:pPr>
      <w:r w:rsidRPr="004F1F8C">
        <w:rPr>
          <w:rFonts w:ascii="Arial" w:eastAsia="Times New Roman" w:hAnsi="Arial" w:cs="Arial"/>
          <w:bCs/>
        </w:rPr>
        <w:t>Table 1 to Subpart II of Part 63—General Provisions of Applicability to Subpart II</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31"/>
        <w:gridCol w:w="967"/>
        <w:gridCol w:w="7392"/>
      </w:tblGrid>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4F1F8C" w:rsidRPr="004F1F8C" w:rsidRDefault="004F1F8C" w:rsidP="004F1F8C">
            <w:pPr>
              <w:spacing w:after="0" w:line="240" w:lineRule="auto"/>
              <w:jc w:val="center"/>
              <w:rPr>
                <w:rFonts w:ascii="Arial" w:eastAsia="Times New Roman" w:hAnsi="Arial" w:cs="Arial"/>
                <w:b/>
                <w:bCs/>
                <w:sz w:val="16"/>
                <w:szCs w:val="16"/>
              </w:rPr>
            </w:pPr>
            <w:r w:rsidRPr="004F1F8C">
              <w:rPr>
                <w:rFonts w:ascii="Arial" w:eastAsia="Times New Roman" w:hAnsi="Arial" w:cs="Arial"/>
                <w:b/>
                <w:bCs/>
                <w:sz w:val="16"/>
                <w:szCs w:val="16"/>
              </w:rPr>
              <w:t>Reference</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4F1F8C" w:rsidRPr="004F1F8C" w:rsidRDefault="004F1F8C" w:rsidP="004F1F8C">
            <w:pPr>
              <w:spacing w:after="0" w:line="240" w:lineRule="auto"/>
              <w:jc w:val="center"/>
              <w:rPr>
                <w:rFonts w:ascii="Arial" w:eastAsia="Times New Roman" w:hAnsi="Arial" w:cs="Arial"/>
                <w:b/>
                <w:bCs/>
                <w:sz w:val="16"/>
                <w:szCs w:val="16"/>
              </w:rPr>
            </w:pPr>
            <w:r w:rsidRPr="004F1F8C">
              <w:rPr>
                <w:rFonts w:ascii="Arial" w:eastAsia="Times New Roman" w:hAnsi="Arial" w:cs="Arial"/>
                <w:b/>
                <w:bCs/>
                <w:sz w:val="16"/>
                <w:szCs w:val="16"/>
              </w:rPr>
              <w:t>Applies to subpart II</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4F1F8C" w:rsidRPr="004F1F8C" w:rsidRDefault="004F1F8C" w:rsidP="004F1F8C">
            <w:pPr>
              <w:spacing w:after="0" w:line="240" w:lineRule="auto"/>
              <w:jc w:val="center"/>
              <w:rPr>
                <w:rFonts w:ascii="Arial" w:eastAsia="Times New Roman" w:hAnsi="Arial" w:cs="Arial"/>
                <w:b/>
                <w:bCs/>
                <w:sz w:val="16"/>
                <w:szCs w:val="16"/>
              </w:rPr>
            </w:pPr>
            <w:r w:rsidRPr="004F1F8C">
              <w:rPr>
                <w:rFonts w:ascii="Arial" w:eastAsia="Times New Roman" w:hAnsi="Arial" w:cs="Arial"/>
                <w:b/>
                <w:bCs/>
                <w:sz w:val="16"/>
                <w:szCs w:val="16"/>
              </w:rPr>
              <w:t>Comment</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63.1(a)(1)-(3)</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63.1(a)(4)</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Subpart II clarifies the applicability of each paragraph in subpart A to sources subject to subpart II.</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63.1(a)(5)-(7)</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63.1(a)(8)</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Discusses State programs.</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63.1(a)(9)-(14)</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63.1(b)(1)</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§63.781 </w:t>
            </w:r>
            <w:proofErr w:type="gramStart"/>
            <w:r w:rsidRPr="004F1F8C">
              <w:rPr>
                <w:rFonts w:ascii="Arial" w:eastAsia="Times New Roman" w:hAnsi="Arial" w:cs="Arial"/>
                <w:sz w:val="16"/>
                <w:szCs w:val="16"/>
              </w:rPr>
              <w:t>specifies</w:t>
            </w:r>
            <w:proofErr w:type="gramEnd"/>
            <w:r w:rsidRPr="004F1F8C">
              <w:rPr>
                <w:rFonts w:ascii="Arial" w:eastAsia="Times New Roman" w:hAnsi="Arial" w:cs="Arial"/>
                <w:sz w:val="16"/>
                <w:szCs w:val="16"/>
              </w:rPr>
              <w:t xml:space="preserve"> applicability in more detail.</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63.1(b)(2)-(3)</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63.1(c)-(e)</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63.2</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Additional terms are defined in §63.782; when overlap between subparts A and II occurs, subpart II takes precedence.</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63.3</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Other units used in subpart II are defined in that subpart.</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63.4</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63.5(a)-(c)</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63.5(d)</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Except information on control devices and control efficiencies should not be included in the application unless an add-on control system is or will be used to comply with subpart II in accordance with §63.783(c).</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63.5(e)-(f)</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63.6(a)-(b)</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63.6(c)-(d)</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Except §63.784(a) specifies the compliance date for existing affected sources.</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63.6(e)(1)(</w:t>
            </w:r>
            <w:proofErr w:type="spellStart"/>
            <w:r w:rsidRPr="004F1F8C">
              <w:rPr>
                <w:rFonts w:ascii="Arial" w:eastAsia="Times New Roman" w:hAnsi="Arial" w:cs="Arial"/>
                <w:sz w:val="16"/>
                <w:szCs w:val="16"/>
              </w:rPr>
              <w:t>i</w:t>
            </w:r>
            <w:proofErr w:type="spellEnd"/>
            <w:r w:rsidRPr="004F1F8C">
              <w:rPr>
                <w:rFonts w:ascii="Arial" w:eastAsia="Times New Roman" w:hAnsi="Arial" w:cs="Arial"/>
                <w:sz w:val="16"/>
                <w:szCs w:val="16"/>
              </w:rPr>
              <w:t>)</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See §63.783(b</w:t>
            </w:r>
            <w:proofErr w:type="gramStart"/>
            <w:r w:rsidRPr="004F1F8C">
              <w:rPr>
                <w:rFonts w:ascii="Arial" w:eastAsia="Times New Roman" w:hAnsi="Arial" w:cs="Arial"/>
                <w:sz w:val="16"/>
                <w:szCs w:val="16"/>
              </w:rPr>
              <w:t>)(</w:t>
            </w:r>
            <w:proofErr w:type="gramEnd"/>
            <w:r w:rsidRPr="004F1F8C">
              <w:rPr>
                <w:rFonts w:ascii="Arial" w:eastAsia="Times New Roman" w:hAnsi="Arial" w:cs="Arial"/>
                <w:sz w:val="16"/>
                <w:szCs w:val="16"/>
              </w:rPr>
              <w:t>1) for general duty requirement.</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63.6(e)(1)(ii)</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63.6(e)(1)(iii)</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63.6(e)(2)</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Section reserved.</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63.6(e)(3)</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63.6(f)(1)</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63.6(f)(2)-(f)(3)</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w:t>
            </w:r>
            <w:r w:rsidRPr="004F1F8C">
              <w:rPr>
                <w:rFonts w:ascii="Arial" w:eastAsia="Times New Roman" w:hAnsi="Arial" w:cs="Arial"/>
                <w:i/>
                <w:iCs/>
                <w:sz w:val="16"/>
                <w:szCs w:val="16"/>
              </w:rPr>
              <w:t>e.g.</w:t>
            </w:r>
            <w:r w:rsidRPr="004F1F8C">
              <w:rPr>
                <w:rFonts w:ascii="Arial" w:eastAsia="Times New Roman" w:hAnsi="Arial" w:cs="Arial"/>
                <w:sz w:val="16"/>
                <w:szCs w:val="16"/>
              </w:rPr>
              <w:t>, an add-on control system) is used to comply with subpart II in accordance with §63.783(c), then this section does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63.6(g)</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§63.783(c) specifies procedures for application and approval of alternative means of limiting emissions.</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63.6(h)</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Subpart II does not contain any opacity or visible emission standards.</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63.6(</w:t>
            </w:r>
            <w:proofErr w:type="spellStart"/>
            <w:r w:rsidRPr="004F1F8C">
              <w:rPr>
                <w:rFonts w:ascii="Arial" w:eastAsia="Times New Roman" w:hAnsi="Arial" w:cs="Arial"/>
                <w:sz w:val="16"/>
                <w:szCs w:val="16"/>
              </w:rPr>
              <w:t>i</w:t>
            </w:r>
            <w:proofErr w:type="spellEnd"/>
            <w:r w:rsidRPr="004F1F8C">
              <w:rPr>
                <w:rFonts w:ascii="Arial" w:eastAsia="Times New Roman" w:hAnsi="Arial" w:cs="Arial"/>
                <w:sz w:val="16"/>
                <w:szCs w:val="16"/>
              </w:rPr>
              <w:t>)-(j)</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63.7(a)-(d)</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w:t>
            </w:r>
            <w:r w:rsidRPr="004F1F8C">
              <w:rPr>
                <w:rFonts w:ascii="Arial" w:eastAsia="Times New Roman" w:hAnsi="Arial" w:cs="Arial"/>
                <w:i/>
                <w:iCs/>
                <w:sz w:val="16"/>
                <w:szCs w:val="16"/>
              </w:rPr>
              <w:t>e.g.</w:t>
            </w:r>
            <w:r w:rsidRPr="004F1F8C">
              <w:rPr>
                <w:rFonts w:ascii="Arial" w:eastAsia="Times New Roman" w:hAnsi="Arial" w:cs="Arial"/>
                <w:sz w:val="16"/>
                <w:szCs w:val="16"/>
              </w:rPr>
              <w:t>, an add-on control system) is used to comply with subpart II in accordance with §63.783(c), then these sections do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63.7(e)(1)</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w:t>
            </w:r>
            <w:r w:rsidRPr="004F1F8C">
              <w:rPr>
                <w:rFonts w:ascii="Arial" w:eastAsia="Times New Roman" w:hAnsi="Arial" w:cs="Arial"/>
                <w:i/>
                <w:iCs/>
                <w:sz w:val="16"/>
                <w:szCs w:val="16"/>
              </w:rPr>
              <w:t>e.g.</w:t>
            </w:r>
            <w:r w:rsidRPr="004F1F8C">
              <w:rPr>
                <w:rFonts w:ascii="Arial" w:eastAsia="Times New Roman" w:hAnsi="Arial" w:cs="Arial"/>
                <w:sz w:val="16"/>
                <w:szCs w:val="16"/>
              </w:rPr>
              <w:t>, an add-on control system) is used to comply with subpart II in accordance with §63.783(c), then see §63.786(e).</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63.7(e)(2)-(e)(4)</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w:t>
            </w:r>
            <w:r w:rsidRPr="004F1F8C">
              <w:rPr>
                <w:rFonts w:ascii="Arial" w:eastAsia="Times New Roman" w:hAnsi="Arial" w:cs="Arial"/>
                <w:i/>
                <w:iCs/>
                <w:sz w:val="16"/>
                <w:szCs w:val="16"/>
              </w:rPr>
              <w:t>e.g.</w:t>
            </w:r>
            <w:r w:rsidRPr="004F1F8C">
              <w:rPr>
                <w:rFonts w:ascii="Arial" w:eastAsia="Times New Roman" w:hAnsi="Arial" w:cs="Arial"/>
                <w:sz w:val="16"/>
                <w:szCs w:val="16"/>
              </w:rPr>
              <w:t>, an add-on control system) is used to comply with subpart II in accordance with §63.783(c), then these sections do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63.8</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w:t>
            </w:r>
            <w:r w:rsidRPr="004F1F8C">
              <w:rPr>
                <w:rFonts w:ascii="Arial" w:eastAsia="Times New Roman" w:hAnsi="Arial" w:cs="Arial"/>
                <w:i/>
                <w:iCs/>
                <w:sz w:val="16"/>
                <w:szCs w:val="16"/>
              </w:rPr>
              <w:t>e.g.</w:t>
            </w:r>
            <w:r w:rsidRPr="004F1F8C">
              <w:rPr>
                <w:rFonts w:ascii="Arial" w:eastAsia="Times New Roman" w:hAnsi="Arial" w:cs="Arial"/>
                <w:sz w:val="16"/>
                <w:szCs w:val="16"/>
              </w:rPr>
              <w:t>, an add-on control system) is used to comply with subpart II in accordance with §63.783(c), then this section does apply, with the exception of §63.8(c</w:t>
            </w:r>
            <w:proofErr w:type="gramStart"/>
            <w:r w:rsidRPr="004F1F8C">
              <w:rPr>
                <w:rFonts w:ascii="Arial" w:eastAsia="Times New Roman" w:hAnsi="Arial" w:cs="Arial"/>
                <w:sz w:val="16"/>
                <w:szCs w:val="16"/>
              </w:rPr>
              <w:t>)(</w:t>
            </w:r>
            <w:proofErr w:type="gramEnd"/>
            <w:r w:rsidRPr="004F1F8C">
              <w:rPr>
                <w:rFonts w:ascii="Arial" w:eastAsia="Times New Roman" w:hAnsi="Arial" w:cs="Arial"/>
                <w:sz w:val="16"/>
                <w:szCs w:val="16"/>
              </w:rPr>
              <w:t>1)(</w:t>
            </w:r>
            <w:proofErr w:type="spellStart"/>
            <w:r w:rsidRPr="004F1F8C">
              <w:rPr>
                <w:rFonts w:ascii="Arial" w:eastAsia="Times New Roman" w:hAnsi="Arial" w:cs="Arial"/>
                <w:sz w:val="16"/>
                <w:szCs w:val="16"/>
              </w:rPr>
              <w:t>i</w:t>
            </w:r>
            <w:proofErr w:type="spellEnd"/>
            <w:r w:rsidRPr="004F1F8C">
              <w:rPr>
                <w:rFonts w:ascii="Arial" w:eastAsia="Times New Roman" w:hAnsi="Arial" w:cs="Arial"/>
                <w:sz w:val="16"/>
                <w:szCs w:val="16"/>
              </w:rPr>
              <w:t>), §63.8(c)(1)(iii), and the last sentence of §63.8(d)(3).</w:t>
            </w:r>
          </w:p>
        </w:tc>
      </w:tr>
    </w:tbl>
    <w:p w:rsidR="004500C6" w:rsidRDefault="004500C6">
      <w:r>
        <w:br w:type="page"/>
      </w:r>
    </w:p>
    <w:p w:rsidR="004500C6" w:rsidRPr="004F1F8C" w:rsidRDefault="004500C6" w:rsidP="004500C6">
      <w:pPr>
        <w:spacing w:before="200" w:line="240" w:lineRule="auto"/>
        <w:jc w:val="center"/>
        <w:outlineLvl w:val="1"/>
        <w:rPr>
          <w:rFonts w:ascii="Arial" w:eastAsia="Times New Roman" w:hAnsi="Arial" w:cs="Arial"/>
          <w:bCs/>
        </w:rPr>
      </w:pPr>
      <w:r w:rsidRPr="004F1F8C">
        <w:rPr>
          <w:rFonts w:ascii="Arial" w:eastAsia="Times New Roman" w:hAnsi="Arial" w:cs="Arial"/>
          <w:bCs/>
        </w:rPr>
        <w:t>Table 1 to Subpart II of Part 63—General Provisions of Applicability to Subpart II</w:t>
      </w:r>
    </w:p>
    <w:p w:rsidR="004500C6" w:rsidRDefault="004500C6"/>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419"/>
        <w:gridCol w:w="1058"/>
        <w:gridCol w:w="6913"/>
      </w:tblGrid>
      <w:tr w:rsidR="004500C6" w:rsidRPr="004F1F8C" w:rsidTr="009F66AE">
        <w:trPr>
          <w:jc w:val="center"/>
        </w:trPr>
        <w:tc>
          <w:tcPr>
            <w:tcW w:w="0" w:type="auto"/>
            <w:tcBorders>
              <w:top w:val="single" w:sz="2" w:space="0" w:color="000000"/>
              <w:left w:val="single" w:sz="2" w:space="0" w:color="000000"/>
              <w:bottom w:val="single" w:sz="2" w:space="0" w:color="000000"/>
              <w:right w:val="single" w:sz="2" w:space="0" w:color="000000"/>
            </w:tcBorders>
            <w:vAlign w:val="bottom"/>
            <w:hideMark/>
          </w:tcPr>
          <w:p w:rsidR="004500C6" w:rsidRPr="004F1F8C" w:rsidRDefault="004500C6" w:rsidP="001027C6">
            <w:pPr>
              <w:spacing w:after="0" w:line="240" w:lineRule="auto"/>
              <w:jc w:val="center"/>
              <w:rPr>
                <w:rFonts w:ascii="Arial" w:eastAsia="Times New Roman" w:hAnsi="Arial" w:cs="Arial"/>
                <w:b/>
                <w:bCs/>
                <w:sz w:val="16"/>
                <w:szCs w:val="16"/>
              </w:rPr>
            </w:pPr>
            <w:r w:rsidRPr="004F1F8C">
              <w:rPr>
                <w:rFonts w:ascii="Arial" w:eastAsia="Times New Roman" w:hAnsi="Arial" w:cs="Arial"/>
                <w:b/>
                <w:bCs/>
                <w:sz w:val="16"/>
                <w:szCs w:val="16"/>
              </w:rPr>
              <w:t>Reference</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4500C6" w:rsidRPr="004F1F8C" w:rsidRDefault="004500C6" w:rsidP="001027C6">
            <w:pPr>
              <w:spacing w:after="0" w:line="240" w:lineRule="auto"/>
              <w:jc w:val="center"/>
              <w:rPr>
                <w:rFonts w:ascii="Arial" w:eastAsia="Times New Roman" w:hAnsi="Arial" w:cs="Arial"/>
                <w:b/>
                <w:bCs/>
                <w:sz w:val="16"/>
                <w:szCs w:val="16"/>
              </w:rPr>
            </w:pPr>
            <w:r w:rsidRPr="004F1F8C">
              <w:rPr>
                <w:rFonts w:ascii="Arial" w:eastAsia="Times New Roman" w:hAnsi="Arial" w:cs="Arial"/>
                <w:b/>
                <w:bCs/>
                <w:sz w:val="16"/>
                <w:szCs w:val="16"/>
              </w:rPr>
              <w:t>Applies to subpart II</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4500C6" w:rsidRPr="004F1F8C" w:rsidRDefault="004500C6" w:rsidP="001027C6">
            <w:pPr>
              <w:spacing w:after="0" w:line="240" w:lineRule="auto"/>
              <w:jc w:val="center"/>
              <w:rPr>
                <w:rFonts w:ascii="Arial" w:eastAsia="Times New Roman" w:hAnsi="Arial" w:cs="Arial"/>
                <w:b/>
                <w:bCs/>
                <w:sz w:val="16"/>
                <w:szCs w:val="16"/>
              </w:rPr>
            </w:pPr>
            <w:r w:rsidRPr="004F1F8C">
              <w:rPr>
                <w:rFonts w:ascii="Arial" w:eastAsia="Times New Roman" w:hAnsi="Arial" w:cs="Arial"/>
                <w:b/>
                <w:bCs/>
                <w:sz w:val="16"/>
                <w:szCs w:val="16"/>
              </w:rPr>
              <w:t>Comment</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63.9(a)-(d)</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§63.787(a) extends the initial notification deadline to 180 days. §63.787(b) requires an implementation plan to be submitted with the initial notification.</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63.9(e)</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(e.g., an add-on control system) is used to comply with subpart II in accordance with §63.783(c), then this paragraph does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63.9(f)</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Subpart II does not contain any opacity or visible emission standards </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63.9(g)-(h)</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(e.g., an add-on control system) is used to comply with subpart II in accordance with §63.783(c) then these paragraphs do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63.9(</w:t>
            </w:r>
            <w:proofErr w:type="spellStart"/>
            <w:r w:rsidRPr="004F1F8C">
              <w:rPr>
                <w:rFonts w:ascii="Arial" w:eastAsia="Times New Roman" w:hAnsi="Arial" w:cs="Arial"/>
                <w:sz w:val="16"/>
                <w:szCs w:val="16"/>
              </w:rPr>
              <w:t>i</w:t>
            </w:r>
            <w:proofErr w:type="spellEnd"/>
            <w:r w:rsidRPr="004F1F8C">
              <w:rPr>
                <w:rFonts w:ascii="Arial" w:eastAsia="Times New Roman" w:hAnsi="Arial" w:cs="Arial"/>
                <w:sz w:val="16"/>
                <w:szCs w:val="16"/>
              </w:rPr>
              <w:t>)-(j)</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63.10(a)</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63.10(b)(1)</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63.10(b)(2)(</w:t>
            </w:r>
            <w:proofErr w:type="spellStart"/>
            <w:r w:rsidRPr="004F1F8C">
              <w:rPr>
                <w:rFonts w:ascii="Arial" w:eastAsia="Times New Roman" w:hAnsi="Arial" w:cs="Arial"/>
                <w:sz w:val="16"/>
                <w:szCs w:val="16"/>
              </w:rPr>
              <w:t>i</w:t>
            </w:r>
            <w:proofErr w:type="spellEnd"/>
            <w:r w:rsidRPr="004F1F8C">
              <w:rPr>
                <w:rFonts w:ascii="Arial" w:eastAsia="Times New Roman" w:hAnsi="Arial" w:cs="Arial"/>
                <w:sz w:val="16"/>
                <w:szCs w:val="16"/>
              </w:rPr>
              <w:t>)</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63.10(b)(2)(ii)</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See §63.788(b</w:t>
            </w:r>
            <w:proofErr w:type="gramStart"/>
            <w:r w:rsidRPr="004F1F8C">
              <w:rPr>
                <w:rFonts w:ascii="Arial" w:eastAsia="Times New Roman" w:hAnsi="Arial" w:cs="Arial"/>
                <w:sz w:val="16"/>
                <w:szCs w:val="16"/>
              </w:rPr>
              <w:t>)(</w:t>
            </w:r>
            <w:proofErr w:type="gramEnd"/>
            <w:r w:rsidRPr="004F1F8C">
              <w:rPr>
                <w:rFonts w:ascii="Arial" w:eastAsia="Times New Roman" w:hAnsi="Arial" w:cs="Arial"/>
                <w:sz w:val="16"/>
                <w:szCs w:val="16"/>
              </w:rPr>
              <w:t>5) for recordkeeping of occurrence, duration, and actions taken during malfunctions.</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63.10(b)(2)(iii)</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63.10(b)(2)(iv)-(b)(2)(v)</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63.10(b)(2)(vi)-(b)(2)(xiv)</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63.10(b)(3)</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63.10(c)(1)-(9)</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w:t>
            </w:r>
            <w:r w:rsidRPr="004F1F8C">
              <w:rPr>
                <w:rFonts w:ascii="Arial" w:eastAsia="Times New Roman" w:hAnsi="Arial" w:cs="Arial"/>
                <w:i/>
                <w:iCs/>
                <w:sz w:val="16"/>
                <w:szCs w:val="16"/>
              </w:rPr>
              <w:t>e.g.</w:t>
            </w:r>
            <w:r w:rsidRPr="004F1F8C">
              <w:rPr>
                <w:rFonts w:ascii="Arial" w:eastAsia="Times New Roman" w:hAnsi="Arial" w:cs="Arial"/>
                <w:sz w:val="16"/>
                <w:szCs w:val="16"/>
              </w:rPr>
              <w:t>, an add-on control system) is used to comply with subpart II in accordance with §63.783(c), then these sections do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63.10(c)(10)-(11)</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w:t>
            </w:r>
            <w:r w:rsidRPr="004F1F8C">
              <w:rPr>
                <w:rFonts w:ascii="Arial" w:eastAsia="Times New Roman" w:hAnsi="Arial" w:cs="Arial"/>
                <w:i/>
                <w:iCs/>
                <w:sz w:val="16"/>
                <w:szCs w:val="16"/>
              </w:rPr>
              <w:t>e.g.</w:t>
            </w:r>
            <w:r w:rsidRPr="004F1F8C">
              <w:rPr>
                <w:rFonts w:ascii="Arial" w:eastAsia="Times New Roman" w:hAnsi="Arial" w:cs="Arial"/>
                <w:sz w:val="16"/>
                <w:szCs w:val="16"/>
              </w:rPr>
              <w:t>, an add-on control system) is used to comply with subpart II in accordance with §63.783(c), then see §63.788(b</w:t>
            </w:r>
            <w:proofErr w:type="gramStart"/>
            <w:r w:rsidRPr="004F1F8C">
              <w:rPr>
                <w:rFonts w:ascii="Arial" w:eastAsia="Times New Roman" w:hAnsi="Arial" w:cs="Arial"/>
                <w:sz w:val="16"/>
                <w:szCs w:val="16"/>
              </w:rPr>
              <w:t>)(</w:t>
            </w:r>
            <w:proofErr w:type="gramEnd"/>
            <w:r w:rsidRPr="004F1F8C">
              <w:rPr>
                <w:rFonts w:ascii="Arial" w:eastAsia="Times New Roman" w:hAnsi="Arial" w:cs="Arial"/>
                <w:sz w:val="16"/>
                <w:szCs w:val="16"/>
              </w:rPr>
              <w:t>5) for records of malfunctions.</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63.10(c)(12)-(14)</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w:t>
            </w:r>
            <w:r w:rsidRPr="004F1F8C">
              <w:rPr>
                <w:rFonts w:ascii="Arial" w:eastAsia="Times New Roman" w:hAnsi="Arial" w:cs="Arial"/>
                <w:i/>
                <w:iCs/>
                <w:sz w:val="16"/>
                <w:szCs w:val="16"/>
              </w:rPr>
              <w:t>e.g.</w:t>
            </w:r>
            <w:r w:rsidRPr="004F1F8C">
              <w:rPr>
                <w:rFonts w:ascii="Arial" w:eastAsia="Times New Roman" w:hAnsi="Arial" w:cs="Arial"/>
                <w:sz w:val="16"/>
                <w:szCs w:val="16"/>
              </w:rPr>
              <w:t>, an add-on control system) is used to comply with subpart II in accordance with §63.783(c), then these sections do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63.10(c)(15)</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63.10(d)(1)-(4)</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63.10(d)(5)</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See §63.788(c) for reporting malfunctions.</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63.10(e)</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(e.g., an add-on control system) is used to comply with subpart II in accordance with §63.783(c), then this paragraph does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63.10(f)</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 xml:space="preserve">Yes </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63.11</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No</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If an alternative means of limiting emissions (e.g., an add-on control system) is used to comply with subpart II in accordance with §63.783(c), then this section does apply.</w:t>
            </w:r>
          </w:p>
        </w:tc>
      </w:tr>
      <w:tr w:rsidR="004F1F8C" w:rsidRPr="004F1F8C" w:rsidTr="004F1F8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63.12-63.15</w:t>
            </w:r>
          </w:p>
        </w:tc>
        <w:tc>
          <w:tcPr>
            <w:tcW w:w="0" w:type="auto"/>
            <w:tcBorders>
              <w:top w:val="single" w:sz="2" w:space="0" w:color="000000"/>
              <w:left w:val="single" w:sz="2" w:space="0" w:color="000000"/>
              <w:bottom w:val="single" w:sz="2" w:space="0" w:color="000000"/>
              <w:right w:val="single" w:sz="2" w:space="0" w:color="000000"/>
            </w:tcBorders>
            <w:hideMark/>
          </w:tcPr>
          <w:p w:rsidR="004F1F8C" w:rsidRPr="004F1F8C" w:rsidRDefault="004F1F8C" w:rsidP="004F1F8C">
            <w:pPr>
              <w:spacing w:after="0" w:line="240" w:lineRule="auto"/>
              <w:rPr>
                <w:rFonts w:ascii="Arial" w:eastAsia="Times New Roman" w:hAnsi="Arial" w:cs="Arial"/>
                <w:sz w:val="16"/>
                <w:szCs w:val="16"/>
              </w:rPr>
            </w:pPr>
            <w:r w:rsidRPr="004F1F8C">
              <w:rPr>
                <w:rFonts w:ascii="Arial" w:eastAsia="Times New Roman" w:hAnsi="Arial" w:cs="Arial"/>
                <w:sz w:val="16"/>
                <w:szCs w:val="16"/>
              </w:rPr>
              <w:t>Yes</w:t>
            </w:r>
          </w:p>
        </w:tc>
        <w:tc>
          <w:tcPr>
            <w:tcW w:w="0" w:type="auto"/>
            <w:vAlign w:val="center"/>
            <w:hideMark/>
          </w:tcPr>
          <w:p w:rsidR="004F1F8C" w:rsidRPr="004F1F8C" w:rsidRDefault="004F1F8C" w:rsidP="004F1F8C">
            <w:pPr>
              <w:spacing w:after="0" w:line="240" w:lineRule="auto"/>
              <w:rPr>
                <w:rFonts w:ascii="Times New Roman" w:eastAsia="Times New Roman" w:hAnsi="Times New Roman" w:cs="Times New Roman"/>
                <w:sz w:val="16"/>
                <w:szCs w:val="16"/>
              </w:rPr>
            </w:pPr>
          </w:p>
        </w:tc>
      </w:tr>
    </w:tbl>
    <w:p w:rsidR="00CE1FBC" w:rsidRDefault="00CE1FBC" w:rsidP="004F1F8C">
      <w:pPr>
        <w:jc w:val="center"/>
      </w:pPr>
    </w:p>
    <w:p w:rsidR="00CE1FBC" w:rsidRDefault="00CE1FBC">
      <w:r>
        <w:br w:type="page"/>
      </w:r>
    </w:p>
    <w:p w:rsidR="00CE1FBC" w:rsidRPr="00CE1FBC" w:rsidRDefault="00CE1FBC" w:rsidP="00CE1FBC">
      <w:pPr>
        <w:spacing w:before="200" w:line="240" w:lineRule="auto"/>
        <w:jc w:val="center"/>
        <w:outlineLvl w:val="1"/>
        <w:rPr>
          <w:rFonts w:ascii="Arial" w:eastAsia="Times New Roman" w:hAnsi="Arial" w:cs="Arial"/>
          <w:b/>
          <w:bCs/>
          <w:sz w:val="20"/>
          <w:szCs w:val="20"/>
        </w:rPr>
      </w:pPr>
      <w:r w:rsidRPr="00CE1FBC">
        <w:rPr>
          <w:rFonts w:ascii="Arial" w:eastAsia="Times New Roman" w:hAnsi="Arial" w:cs="Arial"/>
          <w:b/>
          <w:bCs/>
          <w:sz w:val="20"/>
          <w:szCs w:val="20"/>
        </w:rPr>
        <w:t>Table 2 to Subpart II of Part 63—Volatile Organic HAP (VOHAP) Limits for Marine Coatings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368"/>
        <w:gridCol w:w="4542"/>
        <w:gridCol w:w="709"/>
        <w:gridCol w:w="771"/>
      </w:tblGrid>
      <w:tr w:rsidR="00CE1FBC" w:rsidRPr="00CE1FBC" w:rsidTr="00CE1FBC">
        <w:trPr>
          <w:jc w:val="center"/>
        </w:trPr>
        <w:tc>
          <w:tcPr>
            <w:tcW w:w="0" w:type="auto"/>
            <w:vMerge w:val="restart"/>
            <w:tcBorders>
              <w:top w:val="single" w:sz="2" w:space="0" w:color="000000"/>
              <w:left w:val="single" w:sz="2" w:space="0" w:color="000000"/>
              <w:bottom w:val="single" w:sz="2" w:space="0" w:color="000000"/>
              <w:right w:val="single" w:sz="2" w:space="0" w:color="000000"/>
            </w:tcBorders>
            <w:vAlign w:val="bottom"/>
            <w:hideMark/>
          </w:tcPr>
          <w:p w:rsidR="00CE1FBC" w:rsidRPr="00CE1FBC" w:rsidRDefault="00CE1FBC" w:rsidP="00CE1FBC">
            <w:pPr>
              <w:spacing w:after="0" w:line="240" w:lineRule="auto"/>
              <w:jc w:val="center"/>
              <w:rPr>
                <w:rFonts w:ascii="Arial" w:eastAsia="Times New Roman" w:hAnsi="Arial" w:cs="Arial"/>
                <w:b/>
                <w:bCs/>
                <w:sz w:val="10"/>
                <w:szCs w:val="10"/>
              </w:rPr>
            </w:pPr>
            <w:r w:rsidRPr="00CE1FBC">
              <w:rPr>
                <w:rFonts w:ascii="Arial" w:eastAsia="Times New Roman" w:hAnsi="Arial" w:cs="Arial"/>
                <w:b/>
                <w:bCs/>
                <w:sz w:val="10"/>
                <w:szCs w:val="10"/>
              </w:rPr>
              <w:t>Coating category</w:t>
            </w:r>
          </w:p>
        </w:tc>
        <w:tc>
          <w:tcPr>
            <w:tcW w:w="0" w:type="auto"/>
            <w:gridSpan w:val="3"/>
            <w:tcBorders>
              <w:top w:val="single" w:sz="2" w:space="0" w:color="000000"/>
              <w:left w:val="single" w:sz="2" w:space="0" w:color="000000"/>
              <w:bottom w:val="single" w:sz="2" w:space="0" w:color="000000"/>
              <w:right w:val="single" w:sz="2" w:space="0" w:color="000000"/>
            </w:tcBorders>
            <w:vAlign w:val="bottom"/>
            <w:hideMark/>
          </w:tcPr>
          <w:p w:rsidR="00CE1FBC" w:rsidRPr="00CE1FBC" w:rsidRDefault="00CE1FBC" w:rsidP="00CE1FBC">
            <w:pPr>
              <w:spacing w:after="0" w:line="240" w:lineRule="auto"/>
              <w:jc w:val="center"/>
              <w:rPr>
                <w:rFonts w:ascii="Arial" w:eastAsia="Times New Roman" w:hAnsi="Arial" w:cs="Arial"/>
                <w:b/>
                <w:bCs/>
                <w:sz w:val="10"/>
                <w:szCs w:val="10"/>
              </w:rPr>
            </w:pPr>
            <w:r w:rsidRPr="00CE1FBC">
              <w:rPr>
                <w:rFonts w:ascii="Arial" w:eastAsia="Times New Roman" w:hAnsi="Arial" w:cs="Arial"/>
                <w:b/>
                <w:bCs/>
                <w:sz w:val="10"/>
                <w:szCs w:val="10"/>
              </w:rPr>
              <w:t xml:space="preserve">VOHAP </w:t>
            </w:r>
            <w:proofErr w:type="spellStart"/>
            <w:r w:rsidRPr="00CE1FBC">
              <w:rPr>
                <w:rFonts w:ascii="Arial" w:eastAsia="Times New Roman" w:hAnsi="Arial" w:cs="Arial"/>
                <w:b/>
                <w:bCs/>
                <w:sz w:val="10"/>
                <w:szCs w:val="10"/>
              </w:rPr>
              <w:t>limits</w:t>
            </w:r>
            <w:r w:rsidRPr="00CE1FBC">
              <w:rPr>
                <w:rFonts w:ascii="Arial" w:eastAsia="Times New Roman" w:hAnsi="Arial" w:cs="Arial"/>
                <w:b/>
                <w:bCs/>
                <w:sz w:val="10"/>
                <w:szCs w:val="10"/>
                <w:vertAlign w:val="superscript"/>
              </w:rPr>
              <w:t>a,b,c</w:t>
            </w:r>
            <w:proofErr w:type="spellEnd"/>
          </w:p>
        </w:tc>
      </w:tr>
      <w:tr w:rsidR="00CE1FBC" w:rsidRPr="00CE1FBC" w:rsidTr="00CE1FBC">
        <w:trP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E1FBC" w:rsidRPr="00CE1FBC" w:rsidRDefault="00CE1FBC" w:rsidP="00CE1FBC">
            <w:pPr>
              <w:spacing w:after="0" w:line="240" w:lineRule="auto"/>
              <w:rPr>
                <w:rFonts w:ascii="Arial" w:eastAsia="Times New Roman" w:hAnsi="Arial" w:cs="Arial"/>
                <w:b/>
                <w:bCs/>
                <w:sz w:val="10"/>
                <w:szCs w:val="10"/>
              </w:rPr>
            </w:pPr>
          </w:p>
        </w:tc>
        <w:tc>
          <w:tcPr>
            <w:tcW w:w="0" w:type="auto"/>
            <w:vMerge w:val="restart"/>
            <w:tcBorders>
              <w:top w:val="single" w:sz="2" w:space="0" w:color="000000"/>
              <w:left w:val="single" w:sz="2" w:space="0" w:color="000000"/>
              <w:bottom w:val="single" w:sz="2" w:space="0" w:color="000000"/>
              <w:right w:val="single" w:sz="2" w:space="0" w:color="000000"/>
            </w:tcBorders>
            <w:vAlign w:val="bottom"/>
            <w:hideMark/>
          </w:tcPr>
          <w:p w:rsidR="00CE1FBC" w:rsidRPr="00CE1FBC" w:rsidRDefault="00CE1FBC" w:rsidP="00CE1FBC">
            <w:pPr>
              <w:spacing w:after="0" w:line="240" w:lineRule="auto"/>
              <w:jc w:val="center"/>
              <w:rPr>
                <w:rFonts w:ascii="Arial" w:eastAsia="Times New Roman" w:hAnsi="Arial" w:cs="Arial"/>
                <w:b/>
                <w:bCs/>
                <w:sz w:val="10"/>
                <w:szCs w:val="10"/>
              </w:rPr>
            </w:pPr>
            <w:r w:rsidRPr="00CE1FBC">
              <w:rPr>
                <w:rFonts w:ascii="Arial" w:eastAsia="Times New Roman" w:hAnsi="Arial" w:cs="Arial"/>
                <w:b/>
                <w:bCs/>
                <w:sz w:val="10"/>
                <w:szCs w:val="10"/>
              </w:rPr>
              <w:t>Grams/liter coating (minus water and exempt compounds)</w:t>
            </w:r>
          </w:p>
        </w:tc>
        <w:tc>
          <w:tcPr>
            <w:tcW w:w="0" w:type="auto"/>
            <w:gridSpan w:val="2"/>
            <w:tcBorders>
              <w:top w:val="single" w:sz="2" w:space="0" w:color="000000"/>
              <w:left w:val="single" w:sz="2" w:space="0" w:color="000000"/>
              <w:bottom w:val="single" w:sz="2" w:space="0" w:color="000000"/>
              <w:right w:val="single" w:sz="2" w:space="0" w:color="000000"/>
            </w:tcBorders>
            <w:vAlign w:val="bottom"/>
            <w:hideMark/>
          </w:tcPr>
          <w:p w:rsidR="00CE1FBC" w:rsidRPr="00CE1FBC" w:rsidRDefault="00CE1FBC" w:rsidP="00CE1FBC">
            <w:pPr>
              <w:spacing w:after="0" w:line="240" w:lineRule="auto"/>
              <w:jc w:val="center"/>
              <w:rPr>
                <w:rFonts w:ascii="Arial" w:eastAsia="Times New Roman" w:hAnsi="Arial" w:cs="Arial"/>
                <w:b/>
                <w:bCs/>
                <w:sz w:val="10"/>
                <w:szCs w:val="10"/>
              </w:rPr>
            </w:pPr>
            <w:r w:rsidRPr="00CE1FBC">
              <w:rPr>
                <w:rFonts w:ascii="Arial" w:eastAsia="Times New Roman" w:hAnsi="Arial" w:cs="Arial"/>
                <w:b/>
                <w:bCs/>
                <w:sz w:val="10"/>
                <w:szCs w:val="10"/>
              </w:rPr>
              <w:t xml:space="preserve">Grams/liter </w:t>
            </w:r>
            <w:proofErr w:type="spellStart"/>
            <w:r w:rsidRPr="00CE1FBC">
              <w:rPr>
                <w:rFonts w:ascii="Arial" w:eastAsia="Times New Roman" w:hAnsi="Arial" w:cs="Arial"/>
                <w:b/>
                <w:bCs/>
                <w:sz w:val="10"/>
                <w:szCs w:val="10"/>
              </w:rPr>
              <w:t>solids</w:t>
            </w:r>
            <w:r w:rsidRPr="00CE1FBC">
              <w:rPr>
                <w:rFonts w:ascii="Arial" w:eastAsia="Times New Roman" w:hAnsi="Arial" w:cs="Arial"/>
                <w:b/>
                <w:bCs/>
                <w:sz w:val="10"/>
                <w:szCs w:val="10"/>
                <w:vertAlign w:val="superscript"/>
              </w:rPr>
              <w:t>d</w:t>
            </w:r>
            <w:proofErr w:type="spellEnd"/>
            <w:r w:rsidRPr="00CE1FBC">
              <w:rPr>
                <w:rFonts w:ascii="Arial" w:eastAsia="Times New Roman" w:hAnsi="Arial" w:cs="Arial"/>
                <w:b/>
                <w:bCs/>
                <w:sz w:val="10"/>
                <w:szCs w:val="10"/>
              </w:rPr>
              <w:t xml:space="preserve"> </w:t>
            </w:r>
          </w:p>
        </w:tc>
      </w:tr>
      <w:tr w:rsidR="00CE1FBC" w:rsidRPr="00CE1FBC" w:rsidTr="00CE1FBC">
        <w:trPr>
          <w:jc w:val="center"/>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E1FBC" w:rsidRPr="00CE1FBC" w:rsidRDefault="00CE1FBC" w:rsidP="00CE1FBC">
            <w:pPr>
              <w:spacing w:after="0" w:line="240" w:lineRule="auto"/>
              <w:rPr>
                <w:rFonts w:ascii="Arial" w:eastAsia="Times New Roman" w:hAnsi="Arial" w:cs="Arial"/>
                <w:b/>
                <w:bCs/>
                <w:sz w:val="10"/>
                <w:szCs w:val="10"/>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CE1FBC" w:rsidRPr="00CE1FBC" w:rsidRDefault="00CE1FBC" w:rsidP="00CE1FBC">
            <w:pPr>
              <w:spacing w:after="0" w:line="240" w:lineRule="auto"/>
              <w:rPr>
                <w:rFonts w:ascii="Arial" w:eastAsia="Times New Roman" w:hAnsi="Arial" w:cs="Arial"/>
                <w:b/>
                <w:bCs/>
                <w:sz w:val="10"/>
                <w:szCs w:val="10"/>
              </w:rPr>
            </w:pP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E1FBC" w:rsidRPr="00CE1FBC" w:rsidRDefault="00CE1FBC" w:rsidP="00CE1FBC">
            <w:pPr>
              <w:spacing w:after="0" w:line="240" w:lineRule="auto"/>
              <w:jc w:val="center"/>
              <w:rPr>
                <w:rFonts w:ascii="Arial" w:eastAsia="Times New Roman" w:hAnsi="Arial" w:cs="Arial"/>
                <w:b/>
                <w:bCs/>
                <w:sz w:val="10"/>
                <w:szCs w:val="10"/>
              </w:rPr>
            </w:pPr>
            <w:r w:rsidRPr="00CE1FBC">
              <w:rPr>
                <w:rFonts w:ascii="Arial" w:eastAsia="Times New Roman" w:hAnsi="Arial" w:cs="Arial"/>
                <w:b/>
                <w:bCs/>
                <w:sz w:val="10"/>
                <w:szCs w:val="10"/>
              </w:rPr>
              <w:t>t ≥4.5 °C</w:t>
            </w:r>
          </w:p>
        </w:tc>
        <w:tc>
          <w:tcPr>
            <w:tcW w:w="0" w:type="auto"/>
            <w:tcBorders>
              <w:top w:val="single" w:sz="2" w:space="0" w:color="000000"/>
              <w:left w:val="single" w:sz="2" w:space="0" w:color="000000"/>
              <w:bottom w:val="single" w:sz="2" w:space="0" w:color="000000"/>
              <w:right w:val="single" w:sz="2" w:space="0" w:color="000000"/>
            </w:tcBorders>
            <w:vAlign w:val="bottom"/>
            <w:hideMark/>
          </w:tcPr>
          <w:p w:rsidR="00CE1FBC" w:rsidRPr="00CE1FBC" w:rsidRDefault="00CE1FBC" w:rsidP="00CE1FBC">
            <w:pPr>
              <w:spacing w:after="0" w:line="240" w:lineRule="auto"/>
              <w:jc w:val="center"/>
              <w:rPr>
                <w:rFonts w:ascii="Arial" w:eastAsia="Times New Roman" w:hAnsi="Arial" w:cs="Arial"/>
                <w:b/>
                <w:bCs/>
                <w:sz w:val="10"/>
                <w:szCs w:val="10"/>
              </w:rPr>
            </w:pPr>
            <w:r w:rsidRPr="00CE1FBC">
              <w:rPr>
                <w:rFonts w:ascii="Arial" w:eastAsia="Times New Roman" w:hAnsi="Arial" w:cs="Arial"/>
                <w:b/>
                <w:bCs/>
                <w:sz w:val="10"/>
                <w:szCs w:val="10"/>
              </w:rPr>
              <w:t>t &lt;4.5 °</w:t>
            </w:r>
            <w:proofErr w:type="spellStart"/>
            <w:r w:rsidRPr="00CE1FBC">
              <w:rPr>
                <w:rFonts w:ascii="Arial" w:eastAsia="Times New Roman" w:hAnsi="Arial" w:cs="Arial"/>
                <w:b/>
                <w:bCs/>
                <w:sz w:val="10"/>
                <w:szCs w:val="10"/>
              </w:rPr>
              <w:t>C</w:t>
            </w:r>
            <w:r w:rsidRPr="00CE1FBC">
              <w:rPr>
                <w:rFonts w:ascii="Arial" w:eastAsia="Times New Roman" w:hAnsi="Arial" w:cs="Arial"/>
                <w:b/>
                <w:bCs/>
                <w:sz w:val="10"/>
                <w:szCs w:val="10"/>
                <w:vertAlign w:val="superscript"/>
              </w:rPr>
              <w:t>e</w:t>
            </w:r>
            <w:proofErr w:type="spellEnd"/>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General use</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340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571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728</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Specialty:</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Air flask</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340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571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728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Antenna</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530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1,439</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proofErr w:type="spellStart"/>
            <w:r w:rsidRPr="00CE1FBC">
              <w:rPr>
                <w:rFonts w:ascii="Arial" w:eastAsia="Times New Roman" w:hAnsi="Arial" w:cs="Arial"/>
                <w:sz w:val="10"/>
                <w:szCs w:val="10"/>
              </w:rPr>
              <w:t>Antifoulant</w:t>
            </w:r>
            <w:proofErr w:type="spellEnd"/>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400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765</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971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Heat resistant</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420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841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1,069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High-gloss</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420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841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1,069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High-temperature</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500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1,237</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1,597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Inorganic zinc high-build</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340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571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728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Military exterior</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340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571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728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Mist</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2,235</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Navigational aids</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550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1,597</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Nonskid</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340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571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728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Nuclear</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420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841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1,069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Organic zinc</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360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630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802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Pretreatment wash primer</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780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11,095</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 xml:space="preserve">Repair and </w:t>
            </w:r>
            <w:proofErr w:type="spellStart"/>
            <w:r w:rsidRPr="00CE1FBC">
              <w:rPr>
                <w:rFonts w:ascii="Arial" w:eastAsia="Times New Roman" w:hAnsi="Arial" w:cs="Arial"/>
                <w:sz w:val="10"/>
                <w:szCs w:val="10"/>
              </w:rPr>
              <w:t>maint</w:t>
            </w:r>
            <w:proofErr w:type="spellEnd"/>
            <w:r w:rsidRPr="00CE1FBC">
              <w:rPr>
                <w:rFonts w:ascii="Arial" w:eastAsia="Times New Roman" w:hAnsi="Arial" w:cs="Arial"/>
                <w:sz w:val="10"/>
                <w:szCs w:val="10"/>
              </w:rPr>
              <w:t>. of thermoplastics</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550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1,597</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Rubber camouflage</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340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571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728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Sealant for thermal spray aluminum</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2,235</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Special marking</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490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1,178</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Specialty interior</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340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571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728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Tack coat</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610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2,235</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Undersea weapons systems</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340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571</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 xml:space="preserve">728 </w:t>
            </w:r>
          </w:p>
        </w:tc>
      </w:tr>
      <w:tr w:rsidR="00CE1FBC" w:rsidRPr="00CE1FBC" w:rsidTr="00CE1FBC">
        <w:trPr>
          <w:jc w:val="center"/>
        </w:trPr>
        <w:tc>
          <w:tcPr>
            <w:tcW w:w="0" w:type="auto"/>
            <w:tcBorders>
              <w:top w:val="single" w:sz="2" w:space="0" w:color="000000"/>
              <w:left w:val="single" w:sz="2" w:space="0" w:color="000000"/>
              <w:bottom w:val="single" w:sz="2" w:space="0" w:color="000000"/>
              <w:right w:val="single" w:sz="2" w:space="0" w:color="000000"/>
            </w:tcBorders>
            <w:tcMar>
              <w:top w:w="120" w:type="dxa"/>
              <w:left w:w="480" w:type="dxa"/>
              <w:bottom w:w="15" w:type="dxa"/>
              <w:right w:w="15" w:type="dxa"/>
            </w:tcMar>
            <w:hideMark/>
          </w:tcPr>
          <w:p w:rsidR="00CE1FBC" w:rsidRPr="00CE1FBC" w:rsidRDefault="00CE1FBC" w:rsidP="00CE1FBC">
            <w:pPr>
              <w:spacing w:after="0" w:line="240" w:lineRule="auto"/>
              <w:rPr>
                <w:rFonts w:ascii="Arial" w:eastAsia="Times New Roman" w:hAnsi="Arial" w:cs="Arial"/>
                <w:sz w:val="10"/>
                <w:szCs w:val="10"/>
              </w:rPr>
            </w:pPr>
            <w:r w:rsidRPr="00CE1FBC">
              <w:rPr>
                <w:rFonts w:ascii="Arial" w:eastAsia="Times New Roman" w:hAnsi="Arial" w:cs="Arial"/>
                <w:sz w:val="10"/>
                <w:szCs w:val="10"/>
              </w:rPr>
              <w:t xml:space="preserve">Weld-through </w:t>
            </w:r>
            <w:proofErr w:type="spellStart"/>
            <w:r w:rsidRPr="00CE1FBC">
              <w:rPr>
                <w:rFonts w:ascii="Arial" w:eastAsia="Times New Roman" w:hAnsi="Arial" w:cs="Arial"/>
                <w:sz w:val="10"/>
                <w:szCs w:val="10"/>
              </w:rPr>
              <w:t>precon</w:t>
            </w:r>
            <w:proofErr w:type="spellEnd"/>
            <w:r w:rsidRPr="00CE1FBC">
              <w:rPr>
                <w:rFonts w:ascii="Arial" w:eastAsia="Times New Roman" w:hAnsi="Arial" w:cs="Arial"/>
                <w:sz w:val="10"/>
                <w:szCs w:val="10"/>
              </w:rPr>
              <w:t>. primer</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650</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r w:rsidRPr="00CE1FBC">
              <w:rPr>
                <w:rFonts w:ascii="Arial" w:eastAsia="Times New Roman" w:hAnsi="Arial" w:cs="Arial"/>
                <w:sz w:val="10"/>
                <w:szCs w:val="10"/>
              </w:rPr>
              <w:t>2,885</w:t>
            </w:r>
          </w:p>
        </w:tc>
        <w:tc>
          <w:tcPr>
            <w:tcW w:w="0" w:type="auto"/>
            <w:tcBorders>
              <w:top w:val="single" w:sz="2" w:space="0" w:color="000000"/>
              <w:left w:val="single" w:sz="2" w:space="0" w:color="000000"/>
              <w:bottom w:val="single" w:sz="2" w:space="0" w:color="000000"/>
              <w:right w:val="single" w:sz="2" w:space="0" w:color="000000"/>
            </w:tcBorders>
            <w:hideMark/>
          </w:tcPr>
          <w:p w:rsidR="00CE1FBC" w:rsidRPr="00CE1FBC" w:rsidRDefault="00CE1FBC" w:rsidP="00CE1FBC">
            <w:pPr>
              <w:spacing w:after="0" w:line="240" w:lineRule="auto"/>
              <w:jc w:val="right"/>
              <w:rPr>
                <w:rFonts w:ascii="Arial" w:eastAsia="Times New Roman" w:hAnsi="Arial" w:cs="Arial"/>
                <w:sz w:val="10"/>
                <w:szCs w:val="10"/>
              </w:rPr>
            </w:pPr>
          </w:p>
        </w:tc>
      </w:tr>
    </w:tbl>
    <w:p w:rsidR="00CE1FBC" w:rsidRPr="00CE1FBC" w:rsidRDefault="00CE1FBC" w:rsidP="00CE1FBC">
      <w:pPr>
        <w:spacing w:before="100" w:beforeAutospacing="1" w:after="100" w:afterAutospacing="1" w:line="240" w:lineRule="auto"/>
        <w:rPr>
          <w:rFonts w:ascii="Arial" w:eastAsia="Times New Roman" w:hAnsi="Arial" w:cs="Arial"/>
          <w:sz w:val="10"/>
          <w:szCs w:val="10"/>
        </w:rPr>
      </w:pPr>
      <w:proofErr w:type="spellStart"/>
      <w:proofErr w:type="gramStart"/>
      <w:r w:rsidRPr="00CE1FBC">
        <w:rPr>
          <w:rFonts w:ascii="Arial" w:eastAsia="Times New Roman" w:hAnsi="Arial" w:cs="Arial"/>
          <w:sz w:val="10"/>
          <w:szCs w:val="10"/>
          <w:vertAlign w:val="superscript"/>
        </w:rPr>
        <w:t>a</w:t>
      </w:r>
      <w:r w:rsidRPr="00CE1FBC">
        <w:rPr>
          <w:rFonts w:ascii="Arial" w:eastAsia="Times New Roman" w:hAnsi="Arial" w:cs="Arial"/>
          <w:sz w:val="10"/>
          <w:szCs w:val="10"/>
        </w:rPr>
        <w:t>The</w:t>
      </w:r>
      <w:proofErr w:type="spellEnd"/>
      <w:proofErr w:type="gramEnd"/>
      <w:r w:rsidRPr="00CE1FBC">
        <w:rPr>
          <w:rFonts w:ascii="Arial" w:eastAsia="Times New Roman" w:hAnsi="Arial" w:cs="Arial"/>
          <w:sz w:val="10"/>
          <w:szCs w:val="10"/>
        </w:rPr>
        <w:t xml:space="preserve"> limits are expressed in two sets of equivalent units. Either set of limits may be used for the compliance procedure described in §63.785(c)(1), but only the limits expressed in units of g/L solids (</w:t>
      </w:r>
      <w:proofErr w:type="spellStart"/>
      <w:r w:rsidRPr="00CE1FBC">
        <w:rPr>
          <w:rFonts w:ascii="Arial" w:eastAsia="Times New Roman" w:hAnsi="Arial" w:cs="Arial"/>
          <w:sz w:val="10"/>
          <w:szCs w:val="10"/>
        </w:rPr>
        <w:t>nonvolatiles</w:t>
      </w:r>
      <w:proofErr w:type="spellEnd"/>
      <w:r w:rsidRPr="00CE1FBC">
        <w:rPr>
          <w:rFonts w:ascii="Arial" w:eastAsia="Times New Roman" w:hAnsi="Arial" w:cs="Arial"/>
          <w:sz w:val="10"/>
          <w:szCs w:val="10"/>
        </w:rPr>
        <w:t>) shall be used for the compliance procedures described §63.785(c) (2) through (4).</w:t>
      </w:r>
    </w:p>
    <w:p w:rsidR="00CE1FBC" w:rsidRPr="00CE1FBC" w:rsidRDefault="00CE1FBC" w:rsidP="00CE1FBC">
      <w:pPr>
        <w:spacing w:before="100" w:beforeAutospacing="1" w:after="100" w:afterAutospacing="1" w:line="240" w:lineRule="auto"/>
        <w:rPr>
          <w:rFonts w:ascii="Arial" w:eastAsia="Times New Roman" w:hAnsi="Arial" w:cs="Arial"/>
          <w:sz w:val="10"/>
          <w:szCs w:val="10"/>
        </w:rPr>
      </w:pPr>
      <w:proofErr w:type="spellStart"/>
      <w:proofErr w:type="gramStart"/>
      <w:r w:rsidRPr="00CE1FBC">
        <w:rPr>
          <w:rFonts w:ascii="Arial" w:eastAsia="Times New Roman" w:hAnsi="Arial" w:cs="Arial"/>
          <w:sz w:val="10"/>
          <w:szCs w:val="10"/>
          <w:vertAlign w:val="superscript"/>
        </w:rPr>
        <w:t>b</w:t>
      </w:r>
      <w:r w:rsidRPr="00CE1FBC">
        <w:rPr>
          <w:rFonts w:ascii="Arial" w:eastAsia="Times New Roman" w:hAnsi="Arial" w:cs="Arial"/>
          <w:sz w:val="10"/>
          <w:szCs w:val="10"/>
        </w:rPr>
        <w:t>VOC</w:t>
      </w:r>
      <w:proofErr w:type="spellEnd"/>
      <w:proofErr w:type="gramEnd"/>
      <w:r w:rsidRPr="00CE1FBC">
        <w:rPr>
          <w:rFonts w:ascii="Arial" w:eastAsia="Times New Roman" w:hAnsi="Arial" w:cs="Arial"/>
          <w:sz w:val="10"/>
          <w:szCs w:val="10"/>
        </w:rPr>
        <w:t xml:space="preserve"> (including exempt compounds listed as HAP) shall be used as a surrogate for VOHAP for those compliance procedures described in §63.785(c) (1) through (3). </w:t>
      </w:r>
    </w:p>
    <w:p w:rsidR="00CE1FBC" w:rsidRPr="00CE1FBC" w:rsidRDefault="00CE1FBC" w:rsidP="00CE1FBC">
      <w:pPr>
        <w:spacing w:before="100" w:beforeAutospacing="1" w:after="100" w:afterAutospacing="1" w:line="240" w:lineRule="auto"/>
        <w:rPr>
          <w:rFonts w:ascii="Arial" w:eastAsia="Times New Roman" w:hAnsi="Arial" w:cs="Arial"/>
          <w:sz w:val="10"/>
          <w:szCs w:val="10"/>
        </w:rPr>
      </w:pPr>
      <w:proofErr w:type="spellStart"/>
      <w:proofErr w:type="gramStart"/>
      <w:r w:rsidRPr="00CE1FBC">
        <w:rPr>
          <w:rFonts w:ascii="Arial" w:eastAsia="Times New Roman" w:hAnsi="Arial" w:cs="Arial"/>
          <w:sz w:val="10"/>
          <w:szCs w:val="10"/>
          <w:vertAlign w:val="superscript"/>
        </w:rPr>
        <w:t>c</w:t>
      </w:r>
      <w:r w:rsidRPr="00CE1FBC">
        <w:rPr>
          <w:rFonts w:ascii="Arial" w:eastAsia="Times New Roman" w:hAnsi="Arial" w:cs="Arial"/>
          <w:sz w:val="10"/>
          <w:szCs w:val="10"/>
        </w:rPr>
        <w:t>To</w:t>
      </w:r>
      <w:proofErr w:type="spellEnd"/>
      <w:proofErr w:type="gramEnd"/>
      <w:r w:rsidRPr="00CE1FBC">
        <w:rPr>
          <w:rFonts w:ascii="Arial" w:eastAsia="Times New Roman" w:hAnsi="Arial" w:cs="Arial"/>
          <w:sz w:val="10"/>
          <w:szCs w:val="10"/>
        </w:rPr>
        <w:t xml:space="preserve"> convert from g/L to lb/gal, multiply by (3.785 L/gal)(1/453.6 lb/g) or 1/120. For compliance purposes, metric units define the standards. </w:t>
      </w:r>
    </w:p>
    <w:p w:rsidR="00CE1FBC" w:rsidRPr="00CE1FBC" w:rsidRDefault="00CE1FBC" w:rsidP="00CE1FBC">
      <w:pPr>
        <w:spacing w:before="100" w:beforeAutospacing="1" w:after="100" w:afterAutospacing="1" w:line="240" w:lineRule="auto"/>
        <w:rPr>
          <w:rFonts w:ascii="Arial" w:eastAsia="Times New Roman" w:hAnsi="Arial" w:cs="Arial"/>
          <w:sz w:val="10"/>
          <w:szCs w:val="10"/>
        </w:rPr>
      </w:pPr>
      <w:proofErr w:type="spellStart"/>
      <w:r w:rsidRPr="00CE1FBC">
        <w:rPr>
          <w:rFonts w:ascii="Arial" w:eastAsia="Times New Roman" w:hAnsi="Arial" w:cs="Arial"/>
          <w:sz w:val="10"/>
          <w:szCs w:val="10"/>
          <w:vertAlign w:val="superscript"/>
        </w:rPr>
        <w:t>d</w:t>
      </w:r>
      <w:r w:rsidRPr="00CE1FBC">
        <w:rPr>
          <w:rFonts w:ascii="Arial" w:eastAsia="Times New Roman" w:hAnsi="Arial" w:cs="Arial"/>
          <w:sz w:val="10"/>
          <w:szCs w:val="10"/>
        </w:rPr>
        <w:t>VOHAP</w:t>
      </w:r>
      <w:proofErr w:type="spellEnd"/>
      <w:r w:rsidRPr="00CE1FBC">
        <w:rPr>
          <w:rFonts w:ascii="Arial" w:eastAsia="Times New Roman" w:hAnsi="Arial" w:cs="Arial"/>
          <w:sz w:val="10"/>
          <w:szCs w:val="10"/>
        </w:rPr>
        <w:t xml:space="preserve"> limits expressed in units of mass of VOHAP per volume of solids were derived from the VOHAP limits expressed in units of mass of VOHAP per volume of coating assuming the coatings contain no water or exempt compounds and that the volumes of all components within a coating are additive. </w:t>
      </w:r>
    </w:p>
    <w:p w:rsidR="00CE1FBC" w:rsidRPr="00CE1FBC" w:rsidRDefault="00CE1FBC" w:rsidP="00CE1FBC">
      <w:pPr>
        <w:spacing w:before="100" w:beforeAutospacing="1" w:after="100" w:afterAutospacing="1" w:line="240" w:lineRule="auto"/>
        <w:rPr>
          <w:rFonts w:ascii="Arial" w:eastAsia="Times New Roman" w:hAnsi="Arial" w:cs="Arial"/>
          <w:sz w:val="10"/>
          <w:szCs w:val="10"/>
        </w:rPr>
      </w:pPr>
      <w:proofErr w:type="spellStart"/>
      <w:proofErr w:type="gramStart"/>
      <w:r w:rsidRPr="00CE1FBC">
        <w:rPr>
          <w:rFonts w:ascii="Arial" w:eastAsia="Times New Roman" w:hAnsi="Arial" w:cs="Arial"/>
          <w:sz w:val="10"/>
          <w:szCs w:val="10"/>
          <w:vertAlign w:val="superscript"/>
        </w:rPr>
        <w:t>e</w:t>
      </w:r>
      <w:r w:rsidRPr="00CE1FBC">
        <w:rPr>
          <w:rFonts w:ascii="Arial" w:eastAsia="Times New Roman" w:hAnsi="Arial" w:cs="Arial"/>
          <w:sz w:val="10"/>
          <w:szCs w:val="10"/>
        </w:rPr>
        <w:t>These</w:t>
      </w:r>
      <w:proofErr w:type="spellEnd"/>
      <w:proofErr w:type="gramEnd"/>
      <w:r w:rsidRPr="00CE1FBC">
        <w:rPr>
          <w:rFonts w:ascii="Arial" w:eastAsia="Times New Roman" w:hAnsi="Arial" w:cs="Arial"/>
          <w:sz w:val="10"/>
          <w:szCs w:val="10"/>
        </w:rPr>
        <w:t xml:space="preserve"> limits apply during cold-weather time periods, as defined in §63.782. Cold-weather allowances are not given to coatings in categories that permit less than 40 percent volume solids (</w:t>
      </w:r>
      <w:proofErr w:type="spellStart"/>
      <w:r w:rsidRPr="00CE1FBC">
        <w:rPr>
          <w:rFonts w:ascii="Arial" w:eastAsia="Times New Roman" w:hAnsi="Arial" w:cs="Arial"/>
          <w:sz w:val="10"/>
          <w:szCs w:val="10"/>
        </w:rPr>
        <w:t>nonvolatiles</w:t>
      </w:r>
      <w:proofErr w:type="spellEnd"/>
      <w:r w:rsidRPr="00CE1FBC">
        <w:rPr>
          <w:rFonts w:ascii="Arial" w:eastAsia="Times New Roman" w:hAnsi="Arial" w:cs="Arial"/>
          <w:sz w:val="10"/>
          <w:szCs w:val="10"/>
        </w:rPr>
        <w:t>). Such coatings are subject to the same limits regardless of weather conditions.</w:t>
      </w:r>
    </w:p>
    <w:p w:rsidR="002A56DD" w:rsidRDefault="00CE1FBC" w:rsidP="00CE1FBC">
      <w:pPr>
        <w:spacing w:before="200" w:after="100" w:afterAutospacing="1" w:line="240" w:lineRule="auto"/>
        <w:rPr>
          <w:rFonts w:ascii="Arial" w:eastAsia="Times New Roman" w:hAnsi="Arial" w:cs="Arial"/>
          <w:sz w:val="9"/>
          <w:szCs w:val="9"/>
        </w:rPr>
      </w:pPr>
      <w:r w:rsidRPr="00CE1FBC">
        <w:rPr>
          <w:rFonts w:ascii="Arial" w:eastAsia="Times New Roman" w:hAnsi="Arial" w:cs="Arial"/>
          <w:sz w:val="9"/>
          <w:szCs w:val="9"/>
        </w:rPr>
        <w:t>[60 FR 64336, Dec. 15, 1995, as amended at 61 FR 66228, Dec. 17, 1996; 76 FR 72070, Nov. 21, 2011]</w:t>
      </w:r>
    </w:p>
    <w:p w:rsidR="002A56DD" w:rsidRDefault="002A56DD">
      <w:pPr>
        <w:rPr>
          <w:rFonts w:ascii="Arial" w:eastAsia="Times New Roman" w:hAnsi="Arial" w:cs="Arial"/>
          <w:sz w:val="9"/>
          <w:szCs w:val="9"/>
        </w:rPr>
      </w:pPr>
      <w:r>
        <w:rPr>
          <w:rFonts w:ascii="Arial" w:eastAsia="Times New Roman" w:hAnsi="Arial" w:cs="Arial"/>
          <w:sz w:val="9"/>
          <w:szCs w:val="9"/>
        </w:rPr>
        <w:br w:type="page"/>
      </w:r>
    </w:p>
    <w:p w:rsidR="002A56DD" w:rsidRPr="002A56DD" w:rsidRDefault="002A56DD" w:rsidP="002A56DD">
      <w:pPr>
        <w:pStyle w:val="Heading2"/>
        <w:rPr>
          <w:rFonts w:ascii="Arial" w:hAnsi="Arial" w:cs="Arial"/>
          <w:sz w:val="22"/>
          <w:szCs w:val="22"/>
        </w:rPr>
      </w:pPr>
      <w:r w:rsidRPr="002A56DD">
        <w:rPr>
          <w:rFonts w:ascii="Arial" w:hAnsi="Arial" w:cs="Arial"/>
          <w:sz w:val="22"/>
          <w:szCs w:val="22"/>
        </w:rPr>
        <w:t xml:space="preserve">Table 3 to Subpart II of Part 63—Summary of Recordkeeping and Reporting </w:t>
      </w:r>
      <w:proofErr w:type="spellStart"/>
      <w:r w:rsidRPr="002A56DD">
        <w:rPr>
          <w:rFonts w:ascii="Arial" w:hAnsi="Arial" w:cs="Arial"/>
          <w:sz w:val="22"/>
          <w:szCs w:val="22"/>
        </w:rPr>
        <w:t>Requirements</w:t>
      </w:r>
      <w:r w:rsidRPr="002A56DD">
        <w:rPr>
          <w:rStyle w:val="su1"/>
          <w:rFonts w:ascii="Arial" w:hAnsi="Arial" w:cs="Arial"/>
          <w:sz w:val="22"/>
          <w:szCs w:val="22"/>
        </w:rPr>
        <w:t>abc</w:t>
      </w:r>
      <w:proofErr w:type="spellEnd"/>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641"/>
        <w:gridCol w:w="342"/>
        <w:gridCol w:w="352"/>
        <w:gridCol w:w="338"/>
        <w:gridCol w:w="347"/>
        <w:gridCol w:w="338"/>
        <w:gridCol w:w="347"/>
        <w:gridCol w:w="338"/>
        <w:gridCol w:w="347"/>
      </w:tblGrid>
      <w:tr w:rsidR="002A56DD" w:rsidRPr="002A56DD" w:rsidTr="002A56DD">
        <w:trPr>
          <w:jc w:val="center"/>
        </w:trPr>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Requirement</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All Opts.</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Option 1</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Option 2</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Option 3</w:t>
            </w:r>
          </w:p>
        </w:tc>
      </w:tr>
      <w:tr w:rsidR="002A56DD" w:rsidRPr="002A56DD" w:rsidTr="002A56DD">
        <w:trPr>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A56DD" w:rsidRPr="002A56DD" w:rsidRDefault="002A56DD">
            <w:pPr>
              <w:rPr>
                <w:rFonts w:ascii="Arial" w:hAnsi="Arial" w:cs="Arial"/>
                <w:b/>
                <w:bCs/>
                <w:sz w:val="16"/>
                <w:szCs w:val="16"/>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proofErr w:type="spellStart"/>
            <w:r w:rsidRPr="002A56DD">
              <w:rPr>
                <w:rFonts w:ascii="Arial" w:hAnsi="Arial" w:cs="Arial"/>
                <w:b/>
                <w:bCs/>
                <w:sz w:val="16"/>
                <w:szCs w:val="16"/>
              </w:rPr>
              <w:t>Rec</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Rep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proofErr w:type="spellStart"/>
            <w:r w:rsidRPr="002A56DD">
              <w:rPr>
                <w:rFonts w:ascii="Arial" w:hAnsi="Arial" w:cs="Arial"/>
                <w:b/>
                <w:bCs/>
                <w:sz w:val="16"/>
                <w:szCs w:val="16"/>
              </w:rPr>
              <w:t>Rec</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Rep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proofErr w:type="spellStart"/>
            <w:r w:rsidRPr="002A56DD">
              <w:rPr>
                <w:rFonts w:ascii="Arial" w:hAnsi="Arial" w:cs="Arial"/>
                <w:b/>
                <w:bCs/>
                <w:sz w:val="16"/>
                <w:szCs w:val="16"/>
              </w:rPr>
              <w:t>Rec</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Rep</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proofErr w:type="spellStart"/>
            <w:r w:rsidRPr="002A56DD">
              <w:rPr>
                <w:rFonts w:ascii="Arial" w:hAnsi="Arial" w:cs="Arial"/>
                <w:b/>
                <w:bCs/>
                <w:sz w:val="16"/>
                <w:szCs w:val="16"/>
              </w:rPr>
              <w:t>Rec</w:t>
            </w:r>
            <w:proofErr w:type="spellEnd"/>
          </w:p>
        </w:tc>
        <w:tc>
          <w:tcPr>
            <w:tcW w:w="0" w:type="auto"/>
            <w:tcBorders>
              <w:top w:val="single" w:sz="6" w:space="0" w:color="000000"/>
              <w:left w:val="single" w:sz="6" w:space="0" w:color="000000"/>
              <w:bottom w:val="single" w:sz="6" w:space="0" w:color="000000"/>
              <w:right w:val="single" w:sz="6" w:space="0" w:color="000000"/>
            </w:tcBorders>
            <w:vAlign w:val="bottom"/>
            <w:hideMark/>
          </w:tcPr>
          <w:p w:rsidR="002A56DD" w:rsidRPr="002A56DD" w:rsidRDefault="002A56DD">
            <w:pPr>
              <w:jc w:val="center"/>
              <w:rPr>
                <w:rFonts w:ascii="Arial" w:hAnsi="Arial" w:cs="Arial"/>
                <w:b/>
                <w:bCs/>
                <w:sz w:val="16"/>
                <w:szCs w:val="16"/>
              </w:rPr>
            </w:pPr>
            <w:r w:rsidRPr="002A56DD">
              <w:rPr>
                <w:rFonts w:ascii="Arial" w:hAnsi="Arial" w:cs="Arial"/>
                <w:b/>
                <w:bCs/>
                <w:sz w:val="16"/>
                <w:szCs w:val="16"/>
              </w:rPr>
              <w:t>Rep</w:t>
            </w: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Notification (§63.9(a)-(d))</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Implementation plan (§63.787(b))</w:t>
            </w:r>
            <w:r w:rsidRPr="002A56DD">
              <w:rPr>
                <w:rFonts w:ascii="Arial" w:hAnsi="Arial" w:cs="Arial"/>
                <w:sz w:val="16"/>
                <w:szCs w:val="16"/>
                <w:vertAlign w:val="superscript"/>
              </w:rPr>
              <w:t>d</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Volume of coating applied at unaffected major sources (§63.781(b))</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Volume of each low-usage-exempt coating applied at affected sources (§63.781(c))</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ID of the coatings used, their appropriate coating categories, and the applicable VOHAP limit</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Determination of whether containers meet the standards described in §63.783(b)(3)</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Results of M-24 or other approved tests</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Certification of the as-supplied VOC content of each batch</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Certification of the as-applied VOC content of each batch</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Volume of each coating applied</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xml:space="preserve">X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Density of each thinner and volume fraction of solids in each batch</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Maximum allowable thinning ratio(s) for each batch</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Volume used of each batch, as supplied</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Total allowable volume of thinner</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Actual volume of thinner used</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r>
      <w:tr w:rsidR="002A56DD" w:rsidRPr="002A56DD" w:rsidTr="002A56DD">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rPr>
                <w:rFonts w:ascii="Arial" w:hAnsi="Arial" w:cs="Arial"/>
                <w:sz w:val="16"/>
                <w:szCs w:val="16"/>
              </w:rPr>
            </w:pPr>
            <w:r w:rsidRPr="002A56DD">
              <w:rPr>
                <w:rFonts w:ascii="Arial" w:hAnsi="Arial" w:cs="Arial"/>
                <w:sz w:val="16"/>
                <w:szCs w:val="16"/>
              </w:rPr>
              <w:t>Identification of each group of coatings and designated thinners</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   </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c>
          <w:tcPr>
            <w:tcW w:w="0" w:type="auto"/>
            <w:tcBorders>
              <w:top w:val="single" w:sz="6" w:space="0" w:color="000000"/>
              <w:left w:val="single" w:sz="6" w:space="0" w:color="000000"/>
              <w:bottom w:val="single" w:sz="6" w:space="0" w:color="000000"/>
              <w:right w:val="single" w:sz="6" w:space="0" w:color="000000"/>
            </w:tcBorders>
            <w:hideMark/>
          </w:tcPr>
          <w:p w:rsidR="002A56DD" w:rsidRPr="002A56DD" w:rsidRDefault="002A56DD">
            <w:pPr>
              <w:jc w:val="center"/>
              <w:rPr>
                <w:rFonts w:ascii="Arial" w:hAnsi="Arial" w:cs="Arial"/>
                <w:sz w:val="16"/>
                <w:szCs w:val="16"/>
              </w:rPr>
            </w:pPr>
            <w:r w:rsidRPr="002A56DD">
              <w:rPr>
                <w:rFonts w:ascii="Arial" w:hAnsi="Arial" w:cs="Arial"/>
                <w:sz w:val="16"/>
                <w:szCs w:val="16"/>
              </w:rPr>
              <w:t>X</w:t>
            </w:r>
          </w:p>
        </w:tc>
      </w:tr>
    </w:tbl>
    <w:p w:rsidR="002A56DD" w:rsidRPr="002A56DD" w:rsidRDefault="002A56DD" w:rsidP="002A56DD">
      <w:pPr>
        <w:pStyle w:val="NoSpacing"/>
        <w:rPr>
          <w:rFonts w:ascii="Arial" w:hAnsi="Arial" w:cs="Arial"/>
          <w:sz w:val="16"/>
          <w:szCs w:val="16"/>
        </w:rPr>
      </w:pPr>
      <w:proofErr w:type="spellStart"/>
      <w:proofErr w:type="gramStart"/>
      <w:r w:rsidRPr="002A56DD">
        <w:rPr>
          <w:rFonts w:ascii="Arial" w:hAnsi="Arial" w:cs="Arial"/>
          <w:sz w:val="16"/>
          <w:szCs w:val="16"/>
          <w:vertAlign w:val="superscript"/>
        </w:rPr>
        <w:t>a</w:t>
      </w:r>
      <w:r w:rsidRPr="002A56DD">
        <w:rPr>
          <w:rFonts w:ascii="Arial" w:hAnsi="Arial" w:cs="Arial"/>
          <w:sz w:val="16"/>
          <w:szCs w:val="16"/>
        </w:rPr>
        <w:t>Affected</w:t>
      </w:r>
      <w:proofErr w:type="spellEnd"/>
      <w:proofErr w:type="gramEnd"/>
      <w:r w:rsidRPr="002A56DD">
        <w:rPr>
          <w:rFonts w:ascii="Arial" w:hAnsi="Arial" w:cs="Arial"/>
          <w:sz w:val="16"/>
          <w:szCs w:val="16"/>
        </w:rPr>
        <w:t xml:space="preserve"> sources that comply with the cold-weather limits must record and report additional information, as specified in §63.788(b)(3) (ii)(C), (iii)(C), and (iv)(D). </w:t>
      </w:r>
    </w:p>
    <w:p w:rsidR="002A56DD" w:rsidRPr="002A56DD" w:rsidRDefault="002A56DD" w:rsidP="002A56DD">
      <w:pPr>
        <w:pStyle w:val="NoSpacing"/>
        <w:rPr>
          <w:rFonts w:ascii="Arial" w:hAnsi="Arial" w:cs="Arial"/>
          <w:sz w:val="16"/>
          <w:szCs w:val="16"/>
        </w:rPr>
      </w:pPr>
      <w:proofErr w:type="spellStart"/>
      <w:proofErr w:type="gramStart"/>
      <w:r w:rsidRPr="002A56DD">
        <w:rPr>
          <w:rFonts w:ascii="Arial" w:hAnsi="Arial" w:cs="Arial"/>
          <w:sz w:val="16"/>
          <w:szCs w:val="16"/>
          <w:vertAlign w:val="superscript"/>
        </w:rPr>
        <w:t>b</w:t>
      </w:r>
      <w:r w:rsidRPr="002A56DD">
        <w:rPr>
          <w:rFonts w:ascii="Arial" w:hAnsi="Arial" w:cs="Arial"/>
          <w:sz w:val="16"/>
          <w:szCs w:val="16"/>
        </w:rPr>
        <w:t>Affected</w:t>
      </w:r>
      <w:proofErr w:type="spellEnd"/>
      <w:proofErr w:type="gramEnd"/>
      <w:r w:rsidRPr="002A56DD">
        <w:rPr>
          <w:rFonts w:ascii="Arial" w:hAnsi="Arial" w:cs="Arial"/>
          <w:sz w:val="16"/>
          <w:szCs w:val="16"/>
        </w:rPr>
        <w:t xml:space="preserve"> sources that detect a violation must record and report additional information, as specified in §63.788(b)(4). </w:t>
      </w:r>
    </w:p>
    <w:p w:rsidR="002A56DD" w:rsidRPr="002A56DD" w:rsidRDefault="002A56DD" w:rsidP="002A56DD">
      <w:pPr>
        <w:pStyle w:val="NoSpacing"/>
        <w:rPr>
          <w:rFonts w:ascii="Arial" w:hAnsi="Arial" w:cs="Arial"/>
          <w:sz w:val="16"/>
          <w:szCs w:val="16"/>
        </w:rPr>
      </w:pPr>
      <w:proofErr w:type="spellStart"/>
      <w:proofErr w:type="gramStart"/>
      <w:r w:rsidRPr="002A56DD">
        <w:rPr>
          <w:rFonts w:ascii="Arial" w:hAnsi="Arial" w:cs="Arial"/>
          <w:sz w:val="16"/>
          <w:szCs w:val="16"/>
          <w:vertAlign w:val="superscript"/>
        </w:rPr>
        <w:t>c</w:t>
      </w:r>
      <w:r w:rsidRPr="002A56DD">
        <w:rPr>
          <w:rFonts w:ascii="Arial" w:hAnsi="Arial" w:cs="Arial"/>
          <w:sz w:val="16"/>
          <w:szCs w:val="16"/>
        </w:rPr>
        <w:t>OPTION</w:t>
      </w:r>
      <w:proofErr w:type="spellEnd"/>
      <w:proofErr w:type="gramEnd"/>
      <w:r w:rsidRPr="002A56DD">
        <w:rPr>
          <w:rFonts w:ascii="Arial" w:hAnsi="Arial" w:cs="Arial"/>
          <w:sz w:val="16"/>
          <w:szCs w:val="16"/>
        </w:rPr>
        <w:t xml:space="preserve"> 4: the recordkeeping and reporting requirements of Option 4 are identical to those of Options 1, 2, or 3, depending on whether and how thinners are used. However, when using Option 4, the term “VOHAP” shall be used in lieu of the term “VOC,” and the owner or operator shall record and report the Administrator-approved VOHAP test method or certification procedure. </w:t>
      </w:r>
    </w:p>
    <w:p w:rsidR="002A56DD" w:rsidRPr="002A56DD" w:rsidRDefault="002A56DD" w:rsidP="002A56DD">
      <w:pPr>
        <w:pStyle w:val="NoSpacing"/>
        <w:rPr>
          <w:rFonts w:ascii="Arial" w:hAnsi="Arial" w:cs="Arial"/>
          <w:sz w:val="16"/>
          <w:szCs w:val="16"/>
        </w:rPr>
      </w:pPr>
      <w:proofErr w:type="spellStart"/>
      <w:r w:rsidRPr="002A56DD">
        <w:rPr>
          <w:rFonts w:ascii="Arial" w:hAnsi="Arial" w:cs="Arial"/>
          <w:sz w:val="16"/>
          <w:szCs w:val="16"/>
          <w:vertAlign w:val="superscript"/>
        </w:rPr>
        <w:t>d</w:t>
      </w:r>
      <w:r w:rsidRPr="002A56DD">
        <w:rPr>
          <w:rFonts w:ascii="Arial" w:hAnsi="Arial" w:cs="Arial"/>
          <w:sz w:val="16"/>
          <w:szCs w:val="16"/>
        </w:rPr>
        <w:t>Major</w:t>
      </w:r>
      <w:proofErr w:type="spellEnd"/>
      <w:r w:rsidRPr="002A56DD">
        <w:rPr>
          <w:rFonts w:ascii="Arial" w:hAnsi="Arial" w:cs="Arial"/>
          <w:sz w:val="16"/>
          <w:szCs w:val="16"/>
        </w:rPr>
        <w:t xml:space="preserve"> sources that intend to become area sources by the compliance date may, in lieu of submitting an implementation plan, choose to submit a statement of intent as specified in §63.787(b)(4).</w:t>
      </w:r>
    </w:p>
    <w:p w:rsidR="002A56DD" w:rsidRPr="002A56DD" w:rsidRDefault="002A56DD" w:rsidP="002A56DD">
      <w:pPr>
        <w:pStyle w:val="NoSpacing"/>
        <w:rPr>
          <w:rFonts w:ascii="Arial" w:hAnsi="Arial" w:cs="Arial"/>
          <w:sz w:val="16"/>
          <w:szCs w:val="16"/>
        </w:rPr>
      </w:pPr>
      <w:r w:rsidRPr="002A56DD">
        <w:rPr>
          <w:rFonts w:ascii="Arial" w:hAnsi="Arial" w:cs="Arial"/>
          <w:sz w:val="16"/>
          <w:szCs w:val="16"/>
        </w:rPr>
        <w:t>[60 FR 64336, Dec. 15, 1995, as amended at 76 FR 72071, Nov. 21, 2011]</w:t>
      </w:r>
    </w:p>
    <w:p w:rsidR="00CE1FBC" w:rsidRPr="00CE1FBC" w:rsidRDefault="00CE1FBC" w:rsidP="002A56DD">
      <w:pPr>
        <w:spacing w:before="200" w:after="100" w:afterAutospacing="1" w:line="240" w:lineRule="auto"/>
        <w:rPr>
          <w:rFonts w:ascii="Arial" w:eastAsia="Times New Roman" w:hAnsi="Arial" w:cs="Arial"/>
          <w:sz w:val="9"/>
          <w:szCs w:val="9"/>
        </w:rPr>
      </w:pPr>
    </w:p>
    <w:p w:rsidR="002A56DD" w:rsidRPr="002A56DD" w:rsidRDefault="002A56DD" w:rsidP="002A56DD">
      <w:pPr>
        <w:spacing w:before="200" w:after="100" w:line="240" w:lineRule="auto"/>
        <w:jc w:val="center"/>
        <w:outlineLvl w:val="1"/>
        <w:rPr>
          <w:rFonts w:ascii="Arial" w:eastAsia="Times New Roman" w:hAnsi="Arial" w:cs="Arial"/>
          <w:b/>
          <w:bCs/>
          <w:sz w:val="24"/>
          <w:szCs w:val="24"/>
        </w:rPr>
      </w:pPr>
      <w:r w:rsidRPr="002A56DD">
        <w:rPr>
          <w:rFonts w:ascii="Arial" w:eastAsia="Times New Roman" w:hAnsi="Arial" w:cs="Arial"/>
          <w:b/>
          <w:bCs/>
          <w:sz w:val="24"/>
          <w:szCs w:val="24"/>
        </w:rPr>
        <w:t>Appendix A to Subpart II of Part 63—VOC Data Sheet</w:t>
      </w:r>
      <w:r w:rsidRPr="002A56DD">
        <w:rPr>
          <w:rFonts w:ascii="Arial" w:eastAsia="Times New Roman" w:hAnsi="Arial" w:cs="Arial"/>
          <w:b/>
          <w:bCs/>
          <w:sz w:val="24"/>
          <w:szCs w:val="24"/>
          <w:vertAlign w:val="superscript"/>
        </w:rPr>
        <w:t>1</w:t>
      </w:r>
    </w:p>
    <w:p w:rsidR="002A56DD" w:rsidRPr="002A56DD" w:rsidRDefault="002A56DD" w:rsidP="002A56DD">
      <w:pPr>
        <w:spacing w:before="200" w:after="100" w:line="240" w:lineRule="auto"/>
        <w:jc w:val="center"/>
        <w:outlineLvl w:val="1"/>
        <w:rPr>
          <w:rFonts w:ascii="Arial" w:eastAsia="Times New Roman" w:hAnsi="Arial" w:cs="Arial"/>
          <w:iCs/>
          <w:sz w:val="18"/>
          <w:szCs w:val="18"/>
        </w:rPr>
      </w:pPr>
      <w:r w:rsidRPr="002A56DD">
        <w:rPr>
          <w:rFonts w:ascii="Arial" w:eastAsia="Times New Roman" w:hAnsi="Arial" w:cs="Arial"/>
          <w:iCs/>
          <w:sz w:val="18"/>
          <w:szCs w:val="18"/>
        </w:rPr>
        <w:t>Properties of the Coating “As Supplied” by the Manufacturer</w:t>
      </w:r>
      <w:r w:rsidRPr="001C329C">
        <w:rPr>
          <w:rFonts w:ascii="Arial" w:eastAsia="Times New Roman" w:hAnsi="Arial" w:cs="Arial"/>
          <w:iCs/>
          <w:sz w:val="18"/>
          <w:szCs w:val="18"/>
          <w:vertAlign w:val="superscript"/>
        </w:rPr>
        <w:t>2</w:t>
      </w:r>
    </w:p>
    <w:p w:rsidR="002A56DD" w:rsidRPr="002A56DD" w:rsidRDefault="002A56DD" w:rsidP="002A56DD">
      <w:pPr>
        <w:spacing w:after="0" w:line="240" w:lineRule="auto"/>
        <w:rPr>
          <w:rFonts w:ascii="Arial" w:eastAsia="Times New Roman" w:hAnsi="Arial" w:cs="Arial"/>
          <w:sz w:val="18"/>
          <w:szCs w:val="18"/>
        </w:rPr>
      </w:pPr>
      <w:r w:rsidRPr="001C329C">
        <w:rPr>
          <w:rFonts w:ascii="Arial" w:eastAsia="Times New Roman" w:hAnsi="Arial" w:cs="Arial"/>
          <w:sz w:val="18"/>
          <w:szCs w:val="18"/>
        </w:rPr>
        <w:t>Coating Manufacturer: _________________________________________________________________</w:t>
      </w:r>
    </w:p>
    <w:p w:rsidR="002A56DD" w:rsidRPr="002A56DD" w:rsidRDefault="002A56DD" w:rsidP="002A56DD">
      <w:pPr>
        <w:spacing w:after="0" w:line="240" w:lineRule="auto"/>
        <w:rPr>
          <w:rFonts w:ascii="Arial" w:eastAsia="Times New Roman" w:hAnsi="Arial" w:cs="Arial"/>
          <w:sz w:val="18"/>
          <w:szCs w:val="18"/>
        </w:rPr>
      </w:pPr>
      <w:r w:rsidRPr="001C329C">
        <w:rPr>
          <w:rFonts w:ascii="Arial" w:eastAsia="Times New Roman" w:hAnsi="Arial" w:cs="Arial"/>
          <w:sz w:val="18"/>
          <w:szCs w:val="18"/>
        </w:rPr>
        <w:t>Coating Identification:  _________________________________________________________________</w:t>
      </w:r>
    </w:p>
    <w:p w:rsidR="002A56DD" w:rsidRPr="002A56DD" w:rsidRDefault="002A56DD" w:rsidP="002A56DD">
      <w:pPr>
        <w:spacing w:after="0" w:line="240" w:lineRule="auto"/>
        <w:rPr>
          <w:rFonts w:ascii="Arial" w:eastAsia="Times New Roman" w:hAnsi="Arial" w:cs="Arial"/>
          <w:sz w:val="18"/>
          <w:szCs w:val="18"/>
        </w:rPr>
      </w:pPr>
      <w:r w:rsidRPr="001C329C">
        <w:rPr>
          <w:rFonts w:ascii="Arial" w:eastAsia="Times New Roman" w:hAnsi="Arial" w:cs="Arial"/>
          <w:sz w:val="18"/>
          <w:szCs w:val="18"/>
        </w:rPr>
        <w:t>Batch Identification:     _________________________________________________________________</w:t>
      </w:r>
    </w:p>
    <w:p w:rsidR="002A56DD" w:rsidRPr="002A56DD" w:rsidRDefault="002A56DD" w:rsidP="002A56DD">
      <w:pPr>
        <w:spacing w:after="0" w:line="240" w:lineRule="auto"/>
        <w:rPr>
          <w:rFonts w:ascii="Arial" w:eastAsia="Times New Roman" w:hAnsi="Arial" w:cs="Arial"/>
          <w:sz w:val="18"/>
          <w:szCs w:val="18"/>
        </w:rPr>
      </w:pPr>
      <w:r w:rsidRPr="001C329C">
        <w:rPr>
          <w:rFonts w:ascii="Arial" w:eastAsia="Times New Roman" w:hAnsi="Arial" w:cs="Arial"/>
          <w:sz w:val="18"/>
          <w:szCs w:val="18"/>
        </w:rPr>
        <w:t>Supplied To: _________________________________________________________________________</w:t>
      </w:r>
    </w:p>
    <w:p w:rsidR="002A56DD" w:rsidRPr="002A56DD" w:rsidRDefault="002A56DD" w:rsidP="002A56DD">
      <w:pPr>
        <w:spacing w:before="100" w:beforeAutospacing="1" w:after="100" w:afterAutospacing="1" w:line="240" w:lineRule="auto"/>
        <w:ind w:firstLine="480"/>
        <w:rPr>
          <w:rFonts w:ascii="Arial" w:eastAsia="Times New Roman" w:hAnsi="Arial" w:cs="Arial"/>
          <w:sz w:val="18"/>
          <w:szCs w:val="18"/>
        </w:rPr>
      </w:pPr>
      <w:proofErr w:type="gramStart"/>
      <w:r w:rsidRPr="001C329C">
        <w:rPr>
          <w:rFonts w:ascii="Arial" w:eastAsia="Times New Roman" w:hAnsi="Arial" w:cs="Arial"/>
          <w:sz w:val="18"/>
          <w:szCs w:val="18"/>
          <w:vertAlign w:val="superscript"/>
        </w:rPr>
        <w:t>1</w:t>
      </w:r>
      <w:r w:rsidRPr="002A56DD">
        <w:rPr>
          <w:rFonts w:ascii="Arial" w:eastAsia="Times New Roman" w:hAnsi="Arial" w:cs="Arial"/>
          <w:sz w:val="18"/>
          <w:szCs w:val="18"/>
        </w:rPr>
        <w:t>Adapted from EPA-340/1-86-016 (July 1986), p. II-2.</w:t>
      </w:r>
      <w:proofErr w:type="gramEnd"/>
    </w:p>
    <w:p w:rsidR="002A56DD" w:rsidRPr="002A56DD" w:rsidRDefault="002A56DD" w:rsidP="002A56DD">
      <w:pPr>
        <w:spacing w:before="100" w:beforeAutospacing="1" w:after="100" w:afterAutospacing="1" w:line="240" w:lineRule="auto"/>
        <w:ind w:firstLine="480"/>
        <w:rPr>
          <w:rFonts w:ascii="Arial" w:eastAsia="Times New Roman" w:hAnsi="Arial" w:cs="Arial"/>
          <w:sz w:val="18"/>
          <w:szCs w:val="18"/>
        </w:rPr>
      </w:pPr>
      <w:r w:rsidRPr="001C329C">
        <w:rPr>
          <w:rFonts w:ascii="Arial" w:eastAsia="Times New Roman" w:hAnsi="Arial" w:cs="Arial"/>
          <w:sz w:val="18"/>
          <w:szCs w:val="18"/>
          <w:vertAlign w:val="superscript"/>
        </w:rPr>
        <w:t>2</w:t>
      </w:r>
      <w:r w:rsidRPr="002A56DD">
        <w:rPr>
          <w:rFonts w:ascii="Arial" w:eastAsia="Times New Roman" w:hAnsi="Arial" w:cs="Arial"/>
          <w:sz w:val="18"/>
          <w:szCs w:val="18"/>
        </w:rPr>
        <w:t>The subscript “s” denotes each value is for the coating “as supplied” by the manufacturer.</w:t>
      </w:r>
    </w:p>
    <w:p w:rsidR="002A56DD" w:rsidRPr="002A56DD" w:rsidRDefault="002A56DD" w:rsidP="002A56DD">
      <w:pPr>
        <w:spacing w:before="100" w:beforeAutospacing="1" w:after="100" w:afterAutospacing="1" w:line="240" w:lineRule="auto"/>
        <w:ind w:firstLine="480"/>
        <w:rPr>
          <w:rFonts w:ascii="Arial" w:eastAsia="Times New Roman" w:hAnsi="Arial" w:cs="Arial"/>
          <w:sz w:val="18"/>
          <w:szCs w:val="18"/>
        </w:rPr>
      </w:pPr>
      <w:r w:rsidRPr="002A56DD">
        <w:rPr>
          <w:rFonts w:ascii="Arial" w:eastAsia="Times New Roman" w:hAnsi="Arial" w:cs="Arial"/>
          <w:sz w:val="18"/>
          <w:szCs w:val="18"/>
        </w:rPr>
        <w:t>Properties of the coating as supplied</w:t>
      </w:r>
      <w:r w:rsidRPr="001C329C">
        <w:rPr>
          <w:rFonts w:ascii="Arial" w:eastAsia="Times New Roman" w:hAnsi="Arial" w:cs="Arial"/>
          <w:sz w:val="18"/>
          <w:szCs w:val="18"/>
          <w:vertAlign w:val="superscript"/>
        </w:rPr>
        <w:t>1</w:t>
      </w:r>
      <w:r w:rsidRPr="002A56DD">
        <w:rPr>
          <w:rFonts w:ascii="Arial" w:eastAsia="Times New Roman" w:hAnsi="Arial" w:cs="Arial"/>
          <w:sz w:val="18"/>
          <w:szCs w:val="18"/>
        </w:rPr>
        <w:t xml:space="preserve"> to the customer:</w:t>
      </w:r>
    </w:p>
    <w:p w:rsidR="002A56DD" w:rsidRPr="002A56DD" w:rsidRDefault="002A56DD" w:rsidP="002A56DD">
      <w:pPr>
        <w:spacing w:before="200" w:after="100" w:line="240" w:lineRule="auto"/>
        <w:ind w:left="960" w:hanging="960"/>
        <w:rPr>
          <w:rFonts w:ascii="Arial" w:eastAsia="Times New Roman" w:hAnsi="Arial" w:cs="Arial"/>
          <w:sz w:val="18"/>
          <w:szCs w:val="18"/>
        </w:rPr>
      </w:pPr>
      <w:r w:rsidRPr="002A56DD">
        <w:rPr>
          <w:rFonts w:ascii="Arial" w:eastAsia="Times New Roman" w:hAnsi="Arial" w:cs="Arial"/>
          <w:sz w:val="18"/>
          <w:szCs w:val="18"/>
        </w:rPr>
        <w:t>A. Coating Density: (D</w:t>
      </w:r>
      <w:r w:rsidRPr="002A56DD">
        <w:rPr>
          <w:rFonts w:ascii="Arial" w:eastAsia="Times New Roman" w:hAnsi="Arial" w:cs="Arial"/>
          <w:sz w:val="18"/>
          <w:szCs w:val="18"/>
          <w:vertAlign w:val="subscript"/>
        </w:rPr>
        <w:t>c</w:t>
      </w:r>
      <w:proofErr w:type="gramStart"/>
      <w:r w:rsidRPr="002A56DD">
        <w:rPr>
          <w:rFonts w:ascii="Arial" w:eastAsia="Times New Roman" w:hAnsi="Arial" w:cs="Arial"/>
          <w:sz w:val="18"/>
          <w:szCs w:val="18"/>
        </w:rPr>
        <w:t>)</w:t>
      </w:r>
      <w:r w:rsidRPr="002A56DD">
        <w:rPr>
          <w:rFonts w:ascii="Arial" w:eastAsia="Times New Roman" w:hAnsi="Arial" w:cs="Arial"/>
          <w:sz w:val="18"/>
          <w:szCs w:val="18"/>
          <w:vertAlign w:val="subscript"/>
        </w:rPr>
        <w:t>s</w:t>
      </w:r>
      <w:proofErr w:type="gramEnd"/>
      <w:r w:rsidRPr="002A56DD">
        <w:rPr>
          <w:rFonts w:ascii="Arial" w:eastAsia="Times New Roman" w:hAnsi="Arial" w:cs="Arial"/>
          <w:sz w:val="18"/>
          <w:szCs w:val="18"/>
        </w:rPr>
        <w:t xml:space="preserve"> </w:t>
      </w:r>
      <w:r w:rsidRPr="001C329C">
        <w:rPr>
          <w:rFonts w:ascii="Arial" w:eastAsia="Times New Roman" w:hAnsi="Arial" w:cs="Arial"/>
          <w:sz w:val="18"/>
          <w:szCs w:val="18"/>
        </w:rPr>
        <w:t>___________________</w:t>
      </w:r>
      <w:r w:rsidRPr="002A56DD">
        <w:rPr>
          <w:rFonts w:ascii="Arial" w:eastAsia="Times New Roman" w:hAnsi="Arial" w:cs="Arial"/>
          <w:sz w:val="18"/>
          <w:szCs w:val="18"/>
        </w:rPr>
        <w:t xml:space="preserve"> g/L </w:t>
      </w:r>
    </w:p>
    <w:p w:rsidR="002A56DD" w:rsidRPr="002A56DD" w:rsidRDefault="002A56DD" w:rsidP="002A56DD">
      <w:pPr>
        <w:spacing w:before="200" w:after="100" w:line="240" w:lineRule="auto"/>
        <w:ind w:left="960" w:hanging="480"/>
        <w:rPr>
          <w:rFonts w:ascii="Arial" w:eastAsia="Times New Roman" w:hAnsi="Arial" w:cs="Arial"/>
          <w:sz w:val="18"/>
          <w:szCs w:val="18"/>
        </w:rPr>
      </w:pPr>
      <w:r w:rsidRPr="002A56DD">
        <w:rPr>
          <w:rFonts w:ascii="Arial" w:eastAsia="Times New Roman" w:hAnsi="Arial" w:cs="Arial"/>
          <w:sz w:val="18"/>
          <w:szCs w:val="18"/>
        </w:rPr>
        <w:t>[   ] ASTM D1475-90*   [   ] Other</w:t>
      </w:r>
      <w:r w:rsidRPr="001C329C">
        <w:rPr>
          <w:rFonts w:ascii="Arial" w:eastAsia="Times New Roman" w:hAnsi="Arial" w:cs="Arial"/>
          <w:sz w:val="18"/>
          <w:szCs w:val="18"/>
          <w:vertAlign w:val="superscript"/>
        </w:rPr>
        <w:t>3</w:t>
      </w:r>
      <w:r w:rsidRPr="002A56DD">
        <w:rPr>
          <w:rFonts w:ascii="Arial" w:eastAsia="Times New Roman" w:hAnsi="Arial" w:cs="Arial"/>
          <w:sz w:val="18"/>
          <w:szCs w:val="18"/>
        </w:rPr>
        <w:t xml:space="preserve"> </w:t>
      </w:r>
    </w:p>
    <w:p w:rsidR="002A56DD" w:rsidRPr="002A56DD" w:rsidRDefault="002A56DD" w:rsidP="002A56DD">
      <w:pPr>
        <w:spacing w:before="200" w:after="100" w:line="240" w:lineRule="auto"/>
        <w:ind w:left="960" w:hanging="960"/>
        <w:rPr>
          <w:rFonts w:ascii="Arial" w:eastAsia="Times New Roman" w:hAnsi="Arial" w:cs="Arial"/>
          <w:sz w:val="18"/>
          <w:szCs w:val="18"/>
        </w:rPr>
      </w:pPr>
      <w:r w:rsidRPr="002A56DD">
        <w:rPr>
          <w:rFonts w:ascii="Arial" w:eastAsia="Times New Roman" w:hAnsi="Arial" w:cs="Arial"/>
          <w:sz w:val="18"/>
          <w:szCs w:val="18"/>
        </w:rPr>
        <w:t>B. Total Volatiles: (</w:t>
      </w:r>
      <w:proofErr w:type="spellStart"/>
      <w:r w:rsidRPr="002A56DD">
        <w:rPr>
          <w:rFonts w:ascii="Arial" w:eastAsia="Times New Roman" w:hAnsi="Arial" w:cs="Arial"/>
          <w:sz w:val="18"/>
          <w:szCs w:val="18"/>
        </w:rPr>
        <w:t>m</w:t>
      </w:r>
      <w:r w:rsidRPr="002A56DD">
        <w:rPr>
          <w:rFonts w:ascii="Arial" w:eastAsia="Times New Roman" w:hAnsi="Arial" w:cs="Arial"/>
          <w:sz w:val="18"/>
          <w:szCs w:val="18"/>
          <w:vertAlign w:val="subscript"/>
        </w:rPr>
        <w:t>v</w:t>
      </w:r>
      <w:proofErr w:type="spellEnd"/>
      <w:proofErr w:type="gramStart"/>
      <w:r w:rsidRPr="002A56DD">
        <w:rPr>
          <w:rFonts w:ascii="Arial" w:eastAsia="Times New Roman" w:hAnsi="Arial" w:cs="Arial"/>
          <w:sz w:val="18"/>
          <w:szCs w:val="18"/>
        </w:rPr>
        <w:t>)</w:t>
      </w:r>
      <w:r w:rsidRPr="002A56DD">
        <w:rPr>
          <w:rFonts w:ascii="Arial" w:eastAsia="Times New Roman" w:hAnsi="Arial" w:cs="Arial"/>
          <w:sz w:val="18"/>
          <w:szCs w:val="18"/>
          <w:vertAlign w:val="subscript"/>
        </w:rPr>
        <w:t>s</w:t>
      </w:r>
      <w:proofErr w:type="gramEnd"/>
      <w:r w:rsidRPr="002A56DD">
        <w:rPr>
          <w:rFonts w:ascii="Arial" w:eastAsia="Times New Roman" w:hAnsi="Arial" w:cs="Arial"/>
          <w:sz w:val="18"/>
          <w:szCs w:val="18"/>
        </w:rPr>
        <w:t xml:space="preserve"> </w:t>
      </w:r>
      <w:r w:rsidRPr="001C329C">
        <w:rPr>
          <w:rFonts w:ascii="Arial" w:eastAsia="Times New Roman" w:hAnsi="Arial" w:cs="Arial"/>
          <w:sz w:val="18"/>
          <w:szCs w:val="18"/>
        </w:rPr>
        <w:t>____________________</w:t>
      </w:r>
      <w:r w:rsidRPr="002A56DD">
        <w:rPr>
          <w:rFonts w:ascii="Arial" w:eastAsia="Times New Roman" w:hAnsi="Arial" w:cs="Arial"/>
          <w:sz w:val="18"/>
          <w:szCs w:val="18"/>
        </w:rPr>
        <w:t xml:space="preserve"> Mass Percent </w:t>
      </w:r>
    </w:p>
    <w:p w:rsidR="002A56DD" w:rsidRPr="002A56DD" w:rsidRDefault="002A56DD" w:rsidP="002A56DD">
      <w:pPr>
        <w:spacing w:before="200" w:after="100" w:line="240" w:lineRule="auto"/>
        <w:ind w:left="960" w:hanging="480"/>
        <w:rPr>
          <w:rFonts w:ascii="Arial" w:eastAsia="Times New Roman" w:hAnsi="Arial" w:cs="Arial"/>
          <w:sz w:val="18"/>
          <w:szCs w:val="18"/>
        </w:rPr>
      </w:pPr>
      <w:r w:rsidRPr="002A56DD">
        <w:rPr>
          <w:rFonts w:ascii="Arial" w:eastAsia="Times New Roman" w:hAnsi="Arial" w:cs="Arial"/>
          <w:sz w:val="18"/>
          <w:szCs w:val="18"/>
        </w:rPr>
        <w:t>[   ] ASTM D2369-93 or 95* [   ] Other</w:t>
      </w:r>
      <w:r w:rsidRPr="001C329C">
        <w:rPr>
          <w:rFonts w:ascii="Arial" w:eastAsia="Times New Roman" w:hAnsi="Arial" w:cs="Arial"/>
          <w:sz w:val="18"/>
          <w:szCs w:val="18"/>
          <w:vertAlign w:val="superscript"/>
        </w:rPr>
        <w:t>3</w:t>
      </w:r>
      <w:r w:rsidRPr="002A56DD">
        <w:rPr>
          <w:rFonts w:ascii="Arial" w:eastAsia="Times New Roman" w:hAnsi="Arial" w:cs="Arial"/>
          <w:sz w:val="18"/>
          <w:szCs w:val="18"/>
        </w:rPr>
        <w:t xml:space="preserve"> </w:t>
      </w:r>
    </w:p>
    <w:p w:rsidR="002A56DD" w:rsidRPr="002A56DD" w:rsidRDefault="002A56DD" w:rsidP="002A56DD">
      <w:pPr>
        <w:spacing w:before="200" w:after="100" w:line="240" w:lineRule="auto"/>
        <w:ind w:left="960" w:hanging="960"/>
        <w:rPr>
          <w:rFonts w:ascii="Arial" w:eastAsia="Times New Roman" w:hAnsi="Arial" w:cs="Arial"/>
          <w:sz w:val="18"/>
          <w:szCs w:val="18"/>
        </w:rPr>
      </w:pPr>
      <w:r w:rsidRPr="002A56DD">
        <w:rPr>
          <w:rFonts w:ascii="Arial" w:eastAsia="Times New Roman" w:hAnsi="Arial" w:cs="Arial"/>
          <w:sz w:val="18"/>
          <w:szCs w:val="18"/>
        </w:rPr>
        <w:t>C. Water Content: 1. (m</w:t>
      </w:r>
      <w:r w:rsidRPr="002A56DD">
        <w:rPr>
          <w:rFonts w:ascii="Arial" w:eastAsia="Times New Roman" w:hAnsi="Arial" w:cs="Arial"/>
          <w:sz w:val="18"/>
          <w:szCs w:val="18"/>
          <w:vertAlign w:val="subscript"/>
        </w:rPr>
        <w:t>w</w:t>
      </w:r>
      <w:proofErr w:type="gramStart"/>
      <w:r w:rsidRPr="002A56DD">
        <w:rPr>
          <w:rFonts w:ascii="Arial" w:eastAsia="Times New Roman" w:hAnsi="Arial" w:cs="Arial"/>
          <w:sz w:val="18"/>
          <w:szCs w:val="18"/>
        </w:rPr>
        <w:t>)</w:t>
      </w:r>
      <w:r w:rsidRPr="002A56DD">
        <w:rPr>
          <w:rFonts w:ascii="Arial" w:eastAsia="Times New Roman" w:hAnsi="Arial" w:cs="Arial"/>
          <w:sz w:val="18"/>
          <w:szCs w:val="18"/>
          <w:vertAlign w:val="subscript"/>
        </w:rPr>
        <w:t>s</w:t>
      </w:r>
      <w:proofErr w:type="gramEnd"/>
      <w:r w:rsidRPr="002A56DD">
        <w:rPr>
          <w:rFonts w:ascii="Arial" w:eastAsia="Times New Roman" w:hAnsi="Arial" w:cs="Arial"/>
          <w:sz w:val="18"/>
          <w:szCs w:val="18"/>
        </w:rPr>
        <w:t xml:space="preserve"> </w:t>
      </w:r>
      <w:r w:rsidRPr="001C329C">
        <w:rPr>
          <w:rFonts w:ascii="Arial" w:eastAsia="Times New Roman" w:hAnsi="Arial" w:cs="Arial"/>
          <w:sz w:val="18"/>
          <w:szCs w:val="18"/>
        </w:rPr>
        <w:t>_________________</w:t>
      </w:r>
      <w:r w:rsidRPr="002A56DD">
        <w:rPr>
          <w:rFonts w:ascii="Arial" w:eastAsia="Times New Roman" w:hAnsi="Arial" w:cs="Arial"/>
          <w:sz w:val="18"/>
          <w:szCs w:val="18"/>
        </w:rPr>
        <w:t xml:space="preserve"> Mass Percent </w:t>
      </w:r>
    </w:p>
    <w:p w:rsidR="002A56DD" w:rsidRPr="002A56DD" w:rsidRDefault="002A56DD" w:rsidP="002A56DD">
      <w:pPr>
        <w:spacing w:before="100" w:beforeAutospacing="1" w:after="100" w:afterAutospacing="1" w:line="240" w:lineRule="auto"/>
        <w:ind w:firstLine="480"/>
        <w:rPr>
          <w:rFonts w:ascii="Arial" w:eastAsia="Times New Roman" w:hAnsi="Arial" w:cs="Arial"/>
          <w:sz w:val="18"/>
          <w:szCs w:val="18"/>
        </w:rPr>
      </w:pPr>
      <w:r w:rsidRPr="002A56DD">
        <w:rPr>
          <w:rFonts w:ascii="Arial" w:eastAsia="Times New Roman" w:hAnsi="Arial" w:cs="Arial"/>
          <w:sz w:val="18"/>
          <w:szCs w:val="18"/>
        </w:rPr>
        <w:t>*Incorporation by reference—see §63.14.</w:t>
      </w:r>
    </w:p>
    <w:p w:rsidR="002A56DD" w:rsidRPr="002A56DD" w:rsidRDefault="002A56DD" w:rsidP="002A56DD">
      <w:pPr>
        <w:spacing w:before="100" w:beforeAutospacing="1" w:after="100" w:afterAutospacing="1" w:line="240" w:lineRule="auto"/>
        <w:ind w:firstLine="480"/>
        <w:rPr>
          <w:rFonts w:ascii="Arial" w:eastAsia="Times New Roman" w:hAnsi="Arial" w:cs="Arial"/>
          <w:sz w:val="18"/>
          <w:szCs w:val="18"/>
        </w:rPr>
      </w:pPr>
      <w:r w:rsidRPr="001C329C">
        <w:rPr>
          <w:rFonts w:ascii="Arial" w:eastAsia="Times New Roman" w:hAnsi="Arial" w:cs="Arial"/>
          <w:sz w:val="18"/>
          <w:szCs w:val="18"/>
          <w:vertAlign w:val="superscript"/>
        </w:rPr>
        <w:t>3</w:t>
      </w:r>
      <w:r w:rsidRPr="002A56DD">
        <w:rPr>
          <w:rFonts w:ascii="Arial" w:eastAsia="Times New Roman" w:hAnsi="Arial" w:cs="Arial"/>
          <w:sz w:val="18"/>
          <w:szCs w:val="18"/>
        </w:rPr>
        <w:t>Explain the other method used under “Remarks.”</w:t>
      </w:r>
    </w:p>
    <w:p w:rsidR="002A56DD" w:rsidRPr="002A56DD" w:rsidRDefault="002A56DD" w:rsidP="002A56DD">
      <w:pPr>
        <w:spacing w:before="200" w:after="100" w:line="240" w:lineRule="auto"/>
        <w:ind w:left="960" w:hanging="480"/>
        <w:rPr>
          <w:rFonts w:ascii="Arial" w:eastAsia="Times New Roman" w:hAnsi="Arial" w:cs="Arial"/>
          <w:sz w:val="18"/>
          <w:szCs w:val="18"/>
        </w:rPr>
      </w:pPr>
      <w:r w:rsidRPr="002A56DD">
        <w:rPr>
          <w:rFonts w:ascii="Arial" w:eastAsia="Times New Roman" w:hAnsi="Arial" w:cs="Arial"/>
          <w:sz w:val="18"/>
          <w:szCs w:val="18"/>
        </w:rPr>
        <w:t>[   ] ASTM D3792-91*   [   ] ASTM D4017-81, 90, or 96a*   [   ] Other</w:t>
      </w:r>
      <w:r w:rsidRPr="001C329C">
        <w:rPr>
          <w:rFonts w:ascii="Arial" w:eastAsia="Times New Roman" w:hAnsi="Arial" w:cs="Arial"/>
          <w:sz w:val="18"/>
          <w:szCs w:val="18"/>
          <w:vertAlign w:val="superscript"/>
        </w:rPr>
        <w:t>3</w:t>
      </w:r>
      <w:r w:rsidRPr="002A56DD">
        <w:rPr>
          <w:rFonts w:ascii="Arial" w:eastAsia="Times New Roman" w:hAnsi="Arial" w:cs="Arial"/>
          <w:sz w:val="18"/>
          <w:szCs w:val="18"/>
        </w:rPr>
        <w:t xml:space="preserve"> </w:t>
      </w:r>
    </w:p>
    <w:p w:rsidR="002A56DD" w:rsidRPr="002A56DD" w:rsidRDefault="002A56DD" w:rsidP="002A56DD">
      <w:pPr>
        <w:spacing w:before="200" w:after="100" w:line="240" w:lineRule="auto"/>
        <w:ind w:left="960" w:hanging="480"/>
        <w:rPr>
          <w:rFonts w:ascii="Arial" w:eastAsia="Times New Roman" w:hAnsi="Arial" w:cs="Arial"/>
          <w:sz w:val="18"/>
          <w:szCs w:val="18"/>
        </w:rPr>
      </w:pPr>
      <w:r w:rsidRPr="002A56DD">
        <w:rPr>
          <w:rFonts w:ascii="Arial" w:eastAsia="Times New Roman" w:hAnsi="Arial" w:cs="Arial"/>
          <w:sz w:val="18"/>
          <w:szCs w:val="18"/>
        </w:rPr>
        <w:t>2. (</w:t>
      </w:r>
      <w:proofErr w:type="spellStart"/>
      <w:proofErr w:type="gramStart"/>
      <w:r w:rsidRPr="002A56DD">
        <w:rPr>
          <w:rFonts w:ascii="Arial" w:eastAsia="Times New Roman" w:hAnsi="Arial" w:cs="Arial"/>
          <w:sz w:val="18"/>
          <w:szCs w:val="18"/>
        </w:rPr>
        <w:t>v</w:t>
      </w:r>
      <w:r w:rsidRPr="002A56DD">
        <w:rPr>
          <w:rFonts w:ascii="Arial" w:eastAsia="Times New Roman" w:hAnsi="Arial" w:cs="Arial"/>
          <w:sz w:val="18"/>
          <w:szCs w:val="18"/>
          <w:vertAlign w:val="subscript"/>
        </w:rPr>
        <w:t>w</w:t>
      </w:r>
      <w:proofErr w:type="spellEnd"/>
      <w:r w:rsidRPr="002A56DD">
        <w:rPr>
          <w:rFonts w:ascii="Arial" w:eastAsia="Times New Roman" w:hAnsi="Arial" w:cs="Arial"/>
          <w:sz w:val="18"/>
          <w:szCs w:val="18"/>
        </w:rPr>
        <w:t>)</w:t>
      </w:r>
      <w:proofErr w:type="gramEnd"/>
      <w:r w:rsidRPr="002A56DD">
        <w:rPr>
          <w:rFonts w:ascii="Arial" w:eastAsia="Times New Roman" w:hAnsi="Arial" w:cs="Arial"/>
          <w:sz w:val="18"/>
          <w:szCs w:val="18"/>
          <w:vertAlign w:val="subscript"/>
        </w:rPr>
        <w:t>s</w:t>
      </w:r>
      <w:r w:rsidRPr="002A56DD">
        <w:rPr>
          <w:rFonts w:ascii="Arial" w:eastAsia="Times New Roman" w:hAnsi="Arial" w:cs="Arial"/>
          <w:sz w:val="18"/>
          <w:szCs w:val="18"/>
        </w:rPr>
        <w:t xml:space="preserve"> </w:t>
      </w:r>
      <w:r w:rsidRPr="001C329C">
        <w:rPr>
          <w:rFonts w:ascii="Arial" w:eastAsia="Times New Roman" w:hAnsi="Arial" w:cs="Arial"/>
          <w:sz w:val="18"/>
          <w:szCs w:val="18"/>
        </w:rPr>
        <w:t>____________________________</w:t>
      </w:r>
      <w:r w:rsidRPr="002A56DD">
        <w:rPr>
          <w:rFonts w:ascii="Arial" w:eastAsia="Times New Roman" w:hAnsi="Arial" w:cs="Arial"/>
          <w:sz w:val="18"/>
          <w:szCs w:val="18"/>
        </w:rPr>
        <w:t xml:space="preserve"> Volume Percent </w:t>
      </w:r>
    </w:p>
    <w:p w:rsidR="002A56DD" w:rsidRPr="002A56DD" w:rsidRDefault="002A56DD" w:rsidP="002A56DD">
      <w:pPr>
        <w:spacing w:before="200" w:after="100" w:line="240" w:lineRule="auto"/>
        <w:ind w:left="960" w:hanging="480"/>
        <w:rPr>
          <w:rFonts w:ascii="Arial" w:eastAsia="Times New Roman" w:hAnsi="Arial" w:cs="Arial"/>
          <w:sz w:val="18"/>
          <w:szCs w:val="18"/>
        </w:rPr>
      </w:pPr>
      <w:r w:rsidRPr="002A56DD">
        <w:rPr>
          <w:rFonts w:ascii="Arial" w:eastAsia="Times New Roman" w:hAnsi="Arial" w:cs="Arial"/>
          <w:sz w:val="18"/>
          <w:szCs w:val="18"/>
        </w:rPr>
        <w:t>[   ] Calculated   [   ] Other</w:t>
      </w:r>
      <w:r w:rsidRPr="001C329C">
        <w:rPr>
          <w:rFonts w:ascii="Arial" w:eastAsia="Times New Roman" w:hAnsi="Arial" w:cs="Arial"/>
          <w:sz w:val="18"/>
          <w:szCs w:val="18"/>
          <w:vertAlign w:val="superscript"/>
        </w:rPr>
        <w:t>3</w:t>
      </w:r>
      <w:r w:rsidRPr="002A56DD">
        <w:rPr>
          <w:rFonts w:ascii="Arial" w:eastAsia="Times New Roman" w:hAnsi="Arial" w:cs="Arial"/>
          <w:sz w:val="18"/>
          <w:szCs w:val="18"/>
        </w:rPr>
        <w:t xml:space="preserve"> </w:t>
      </w:r>
    </w:p>
    <w:p w:rsidR="002A56DD" w:rsidRPr="002A56DD" w:rsidRDefault="002A56DD" w:rsidP="002A56DD">
      <w:pPr>
        <w:spacing w:before="200" w:after="100" w:line="240" w:lineRule="auto"/>
        <w:ind w:left="960" w:hanging="960"/>
        <w:rPr>
          <w:rFonts w:ascii="Arial" w:eastAsia="Times New Roman" w:hAnsi="Arial" w:cs="Arial"/>
          <w:sz w:val="18"/>
          <w:szCs w:val="18"/>
        </w:rPr>
      </w:pPr>
      <w:r w:rsidRPr="002A56DD">
        <w:rPr>
          <w:rFonts w:ascii="Arial" w:eastAsia="Times New Roman" w:hAnsi="Arial" w:cs="Arial"/>
          <w:sz w:val="18"/>
          <w:szCs w:val="18"/>
        </w:rPr>
        <w:t>D. Organic Volatiles: (m</w:t>
      </w:r>
      <w:r w:rsidRPr="002A56DD">
        <w:rPr>
          <w:rFonts w:ascii="Arial" w:eastAsia="Times New Roman" w:hAnsi="Arial" w:cs="Arial"/>
          <w:sz w:val="18"/>
          <w:szCs w:val="18"/>
          <w:vertAlign w:val="subscript"/>
        </w:rPr>
        <w:t>o</w:t>
      </w:r>
      <w:proofErr w:type="gramStart"/>
      <w:r w:rsidRPr="002A56DD">
        <w:rPr>
          <w:rFonts w:ascii="Arial" w:eastAsia="Times New Roman" w:hAnsi="Arial" w:cs="Arial"/>
          <w:sz w:val="18"/>
          <w:szCs w:val="18"/>
        </w:rPr>
        <w:t>)</w:t>
      </w:r>
      <w:r w:rsidRPr="002A56DD">
        <w:rPr>
          <w:rFonts w:ascii="Arial" w:eastAsia="Times New Roman" w:hAnsi="Arial" w:cs="Arial"/>
          <w:sz w:val="18"/>
          <w:szCs w:val="18"/>
          <w:vertAlign w:val="subscript"/>
        </w:rPr>
        <w:t>s</w:t>
      </w:r>
      <w:proofErr w:type="gramEnd"/>
      <w:r w:rsidRPr="002A56DD">
        <w:rPr>
          <w:rFonts w:ascii="Arial" w:eastAsia="Times New Roman" w:hAnsi="Arial" w:cs="Arial"/>
          <w:sz w:val="18"/>
          <w:szCs w:val="18"/>
        </w:rPr>
        <w:t xml:space="preserve"> </w:t>
      </w:r>
      <w:r w:rsidRPr="001C329C">
        <w:rPr>
          <w:rFonts w:ascii="Arial" w:eastAsia="Times New Roman" w:hAnsi="Arial" w:cs="Arial"/>
          <w:sz w:val="18"/>
          <w:szCs w:val="18"/>
        </w:rPr>
        <w:t>_________________</w:t>
      </w:r>
      <w:r w:rsidRPr="002A56DD">
        <w:rPr>
          <w:rFonts w:ascii="Arial" w:eastAsia="Times New Roman" w:hAnsi="Arial" w:cs="Arial"/>
          <w:sz w:val="18"/>
          <w:szCs w:val="18"/>
        </w:rPr>
        <w:t xml:space="preserve"> Mass Percent </w:t>
      </w:r>
    </w:p>
    <w:p w:rsidR="002A56DD" w:rsidRPr="002A56DD" w:rsidRDefault="002A56DD" w:rsidP="002A56DD">
      <w:pPr>
        <w:spacing w:before="200" w:after="100" w:line="240" w:lineRule="auto"/>
        <w:ind w:left="960" w:hanging="960"/>
        <w:rPr>
          <w:rFonts w:ascii="Arial" w:eastAsia="Times New Roman" w:hAnsi="Arial" w:cs="Arial"/>
          <w:sz w:val="18"/>
          <w:szCs w:val="18"/>
        </w:rPr>
      </w:pPr>
      <w:r w:rsidRPr="002A56DD">
        <w:rPr>
          <w:rFonts w:ascii="Arial" w:eastAsia="Times New Roman" w:hAnsi="Arial" w:cs="Arial"/>
          <w:sz w:val="18"/>
          <w:szCs w:val="18"/>
        </w:rPr>
        <w:t xml:space="preserve">E. </w:t>
      </w:r>
      <w:proofErr w:type="spellStart"/>
      <w:r w:rsidRPr="002A56DD">
        <w:rPr>
          <w:rFonts w:ascii="Arial" w:eastAsia="Times New Roman" w:hAnsi="Arial" w:cs="Arial"/>
          <w:sz w:val="18"/>
          <w:szCs w:val="18"/>
        </w:rPr>
        <w:t>Nonvolatiles</w:t>
      </w:r>
      <w:proofErr w:type="spellEnd"/>
      <w:r w:rsidRPr="002A56DD">
        <w:rPr>
          <w:rFonts w:ascii="Arial" w:eastAsia="Times New Roman" w:hAnsi="Arial" w:cs="Arial"/>
          <w:sz w:val="18"/>
          <w:szCs w:val="18"/>
        </w:rPr>
        <w:t>: (</w:t>
      </w:r>
      <w:proofErr w:type="spellStart"/>
      <w:r w:rsidRPr="002A56DD">
        <w:rPr>
          <w:rFonts w:ascii="Arial" w:eastAsia="Times New Roman" w:hAnsi="Arial" w:cs="Arial"/>
          <w:sz w:val="18"/>
          <w:szCs w:val="18"/>
        </w:rPr>
        <w:t>v</w:t>
      </w:r>
      <w:r w:rsidRPr="002A56DD">
        <w:rPr>
          <w:rFonts w:ascii="Arial" w:eastAsia="Times New Roman" w:hAnsi="Arial" w:cs="Arial"/>
          <w:sz w:val="18"/>
          <w:szCs w:val="18"/>
          <w:vertAlign w:val="subscript"/>
        </w:rPr>
        <w:t>n</w:t>
      </w:r>
      <w:proofErr w:type="spellEnd"/>
      <w:proofErr w:type="gramStart"/>
      <w:r w:rsidRPr="002A56DD">
        <w:rPr>
          <w:rFonts w:ascii="Arial" w:eastAsia="Times New Roman" w:hAnsi="Arial" w:cs="Arial"/>
          <w:sz w:val="18"/>
          <w:szCs w:val="18"/>
        </w:rPr>
        <w:t>)</w:t>
      </w:r>
      <w:r w:rsidRPr="002A56DD">
        <w:rPr>
          <w:rFonts w:ascii="Arial" w:eastAsia="Times New Roman" w:hAnsi="Arial" w:cs="Arial"/>
          <w:sz w:val="18"/>
          <w:szCs w:val="18"/>
          <w:vertAlign w:val="subscript"/>
        </w:rPr>
        <w:t>s</w:t>
      </w:r>
      <w:proofErr w:type="gramEnd"/>
      <w:r w:rsidRPr="002A56DD">
        <w:rPr>
          <w:rFonts w:ascii="Arial" w:eastAsia="Times New Roman" w:hAnsi="Arial" w:cs="Arial"/>
          <w:sz w:val="18"/>
          <w:szCs w:val="18"/>
        </w:rPr>
        <w:t xml:space="preserve"> </w:t>
      </w:r>
      <w:r w:rsidRPr="001C329C">
        <w:rPr>
          <w:rFonts w:ascii="Arial" w:eastAsia="Times New Roman" w:hAnsi="Arial" w:cs="Arial"/>
          <w:sz w:val="18"/>
          <w:szCs w:val="18"/>
        </w:rPr>
        <w:t>______________________</w:t>
      </w:r>
      <w:r w:rsidRPr="002A56DD">
        <w:rPr>
          <w:rFonts w:ascii="Arial" w:eastAsia="Times New Roman" w:hAnsi="Arial" w:cs="Arial"/>
          <w:sz w:val="18"/>
          <w:szCs w:val="18"/>
        </w:rPr>
        <w:t xml:space="preserve"> Volume Percent </w:t>
      </w:r>
    </w:p>
    <w:p w:rsidR="002A56DD" w:rsidRPr="002A56DD" w:rsidRDefault="002A56DD" w:rsidP="002A56DD">
      <w:pPr>
        <w:spacing w:before="200" w:after="100" w:line="240" w:lineRule="auto"/>
        <w:ind w:left="960" w:hanging="480"/>
        <w:rPr>
          <w:rFonts w:ascii="Arial" w:eastAsia="Times New Roman" w:hAnsi="Arial" w:cs="Arial"/>
          <w:sz w:val="18"/>
          <w:szCs w:val="18"/>
        </w:rPr>
      </w:pPr>
      <w:r w:rsidRPr="002A56DD">
        <w:rPr>
          <w:rFonts w:ascii="Arial" w:eastAsia="Times New Roman" w:hAnsi="Arial" w:cs="Arial"/>
          <w:sz w:val="18"/>
          <w:szCs w:val="18"/>
        </w:rPr>
        <w:t>[   ] Calculated   [   ] Other</w:t>
      </w:r>
      <w:r w:rsidRPr="001C329C">
        <w:rPr>
          <w:rFonts w:ascii="Arial" w:eastAsia="Times New Roman" w:hAnsi="Arial" w:cs="Arial"/>
          <w:sz w:val="18"/>
          <w:szCs w:val="18"/>
          <w:vertAlign w:val="superscript"/>
        </w:rPr>
        <w:t>3</w:t>
      </w:r>
      <w:r w:rsidRPr="002A56DD">
        <w:rPr>
          <w:rFonts w:ascii="Arial" w:eastAsia="Times New Roman" w:hAnsi="Arial" w:cs="Arial"/>
          <w:sz w:val="18"/>
          <w:szCs w:val="18"/>
        </w:rPr>
        <w:t xml:space="preserve"> </w:t>
      </w:r>
    </w:p>
    <w:p w:rsidR="002A56DD" w:rsidRPr="002A56DD" w:rsidRDefault="002A56DD" w:rsidP="002A56DD">
      <w:pPr>
        <w:spacing w:before="200" w:after="100" w:line="240" w:lineRule="auto"/>
        <w:ind w:left="960" w:hanging="960"/>
        <w:rPr>
          <w:rFonts w:ascii="Arial" w:eastAsia="Times New Roman" w:hAnsi="Arial" w:cs="Arial"/>
          <w:sz w:val="18"/>
          <w:szCs w:val="18"/>
        </w:rPr>
      </w:pPr>
      <w:r w:rsidRPr="002A56DD">
        <w:rPr>
          <w:rFonts w:ascii="Arial" w:eastAsia="Times New Roman" w:hAnsi="Arial" w:cs="Arial"/>
          <w:sz w:val="18"/>
          <w:szCs w:val="18"/>
        </w:rPr>
        <w:t>F. VOC Content (VOC</w:t>
      </w:r>
      <w:proofErr w:type="gramStart"/>
      <w:r w:rsidRPr="002A56DD">
        <w:rPr>
          <w:rFonts w:ascii="Arial" w:eastAsia="Times New Roman" w:hAnsi="Arial" w:cs="Arial"/>
          <w:sz w:val="18"/>
          <w:szCs w:val="18"/>
        </w:rPr>
        <w:t>)</w:t>
      </w:r>
      <w:r w:rsidRPr="002A56DD">
        <w:rPr>
          <w:rFonts w:ascii="Arial" w:eastAsia="Times New Roman" w:hAnsi="Arial" w:cs="Arial"/>
          <w:sz w:val="18"/>
          <w:szCs w:val="18"/>
          <w:vertAlign w:val="subscript"/>
        </w:rPr>
        <w:t>s</w:t>
      </w:r>
      <w:proofErr w:type="gramEnd"/>
      <w:r w:rsidRPr="002A56DD">
        <w:rPr>
          <w:rFonts w:ascii="Arial" w:eastAsia="Times New Roman" w:hAnsi="Arial" w:cs="Arial"/>
          <w:sz w:val="18"/>
          <w:szCs w:val="18"/>
        </w:rPr>
        <w:t>:</w:t>
      </w:r>
    </w:p>
    <w:p w:rsidR="002A56DD" w:rsidRPr="002A56DD" w:rsidRDefault="002A56DD" w:rsidP="002A56DD">
      <w:pPr>
        <w:spacing w:before="200" w:after="100" w:line="240" w:lineRule="auto"/>
        <w:ind w:left="960" w:firstLine="480"/>
        <w:rPr>
          <w:rFonts w:ascii="Arial" w:eastAsia="Times New Roman" w:hAnsi="Arial" w:cs="Arial"/>
          <w:sz w:val="18"/>
          <w:szCs w:val="18"/>
        </w:rPr>
      </w:pPr>
      <w:r w:rsidRPr="002A56DD">
        <w:rPr>
          <w:rFonts w:ascii="Arial" w:eastAsia="Times New Roman" w:hAnsi="Arial" w:cs="Arial"/>
          <w:sz w:val="18"/>
          <w:szCs w:val="18"/>
        </w:rPr>
        <w:t xml:space="preserve">1. </w:t>
      </w:r>
      <w:r w:rsidRPr="001C329C">
        <w:rPr>
          <w:rFonts w:ascii="Arial" w:eastAsia="Times New Roman" w:hAnsi="Arial" w:cs="Arial"/>
          <w:sz w:val="18"/>
          <w:szCs w:val="18"/>
        </w:rPr>
        <w:t>__________</w:t>
      </w:r>
      <w:r w:rsidRPr="002A56DD">
        <w:rPr>
          <w:rFonts w:ascii="Arial" w:eastAsia="Times New Roman" w:hAnsi="Arial" w:cs="Arial"/>
          <w:sz w:val="18"/>
          <w:szCs w:val="18"/>
        </w:rPr>
        <w:t xml:space="preserve"> g/L solids (</w:t>
      </w:r>
      <w:proofErr w:type="spellStart"/>
      <w:r w:rsidRPr="002A56DD">
        <w:rPr>
          <w:rFonts w:ascii="Arial" w:eastAsia="Times New Roman" w:hAnsi="Arial" w:cs="Arial"/>
          <w:sz w:val="18"/>
          <w:szCs w:val="18"/>
        </w:rPr>
        <w:t>nonvolatiles</w:t>
      </w:r>
      <w:proofErr w:type="spellEnd"/>
      <w:r w:rsidRPr="002A56DD">
        <w:rPr>
          <w:rFonts w:ascii="Arial" w:eastAsia="Times New Roman" w:hAnsi="Arial" w:cs="Arial"/>
          <w:sz w:val="18"/>
          <w:szCs w:val="18"/>
        </w:rPr>
        <w:t xml:space="preserve">) </w:t>
      </w:r>
    </w:p>
    <w:p w:rsidR="002A56DD" w:rsidRPr="002A56DD" w:rsidRDefault="002A56DD" w:rsidP="002A56DD">
      <w:pPr>
        <w:spacing w:before="200" w:after="100" w:line="240" w:lineRule="auto"/>
        <w:ind w:left="960" w:firstLine="480"/>
        <w:rPr>
          <w:rFonts w:ascii="Arial" w:eastAsia="Times New Roman" w:hAnsi="Arial" w:cs="Arial"/>
          <w:sz w:val="18"/>
          <w:szCs w:val="18"/>
        </w:rPr>
      </w:pPr>
      <w:r w:rsidRPr="002A56DD">
        <w:rPr>
          <w:rFonts w:ascii="Arial" w:eastAsia="Times New Roman" w:hAnsi="Arial" w:cs="Arial"/>
          <w:sz w:val="18"/>
          <w:szCs w:val="18"/>
        </w:rPr>
        <w:t xml:space="preserve">2. </w:t>
      </w:r>
      <w:r w:rsidRPr="001C329C">
        <w:rPr>
          <w:rFonts w:ascii="Arial" w:eastAsia="Times New Roman" w:hAnsi="Arial" w:cs="Arial"/>
          <w:sz w:val="18"/>
          <w:szCs w:val="18"/>
        </w:rPr>
        <w:t>__________</w:t>
      </w:r>
      <w:r w:rsidRPr="002A56DD">
        <w:rPr>
          <w:rFonts w:ascii="Arial" w:eastAsia="Times New Roman" w:hAnsi="Arial" w:cs="Arial"/>
          <w:sz w:val="18"/>
          <w:szCs w:val="18"/>
        </w:rPr>
        <w:t xml:space="preserve"> g/L coating (less water and exempt compounds) </w:t>
      </w:r>
    </w:p>
    <w:p w:rsidR="002A56DD" w:rsidRPr="002A56DD" w:rsidRDefault="002A56DD" w:rsidP="002A56DD">
      <w:pPr>
        <w:spacing w:before="200" w:after="100" w:line="240" w:lineRule="auto"/>
        <w:ind w:left="960" w:hanging="960"/>
        <w:rPr>
          <w:rFonts w:ascii="Arial" w:eastAsia="Times New Roman" w:hAnsi="Arial" w:cs="Arial"/>
          <w:sz w:val="18"/>
          <w:szCs w:val="18"/>
        </w:rPr>
      </w:pPr>
      <w:r w:rsidRPr="002A56DD">
        <w:rPr>
          <w:rFonts w:ascii="Arial" w:eastAsia="Times New Roman" w:hAnsi="Arial" w:cs="Arial"/>
          <w:sz w:val="18"/>
          <w:szCs w:val="18"/>
        </w:rPr>
        <w:t xml:space="preserve">G. Thinner Density: </w:t>
      </w:r>
      <w:proofErr w:type="spellStart"/>
      <w:r w:rsidRPr="002A56DD">
        <w:rPr>
          <w:rFonts w:ascii="Arial" w:eastAsia="Times New Roman" w:hAnsi="Arial" w:cs="Arial"/>
          <w:sz w:val="18"/>
          <w:szCs w:val="18"/>
        </w:rPr>
        <w:t>D</w:t>
      </w:r>
      <w:r w:rsidRPr="002A56DD">
        <w:rPr>
          <w:rFonts w:ascii="Arial" w:eastAsia="Times New Roman" w:hAnsi="Arial" w:cs="Arial"/>
          <w:sz w:val="18"/>
          <w:szCs w:val="18"/>
          <w:vertAlign w:val="subscript"/>
        </w:rPr>
        <w:t>th</w:t>
      </w:r>
      <w:proofErr w:type="spellEnd"/>
      <w:r w:rsidRPr="002A56DD">
        <w:rPr>
          <w:rFonts w:ascii="Arial" w:eastAsia="Times New Roman" w:hAnsi="Arial" w:cs="Arial"/>
          <w:sz w:val="18"/>
          <w:szCs w:val="18"/>
        </w:rPr>
        <w:t xml:space="preserve"> </w:t>
      </w:r>
      <w:r w:rsidRPr="001C329C">
        <w:rPr>
          <w:rFonts w:ascii="Arial" w:eastAsia="Times New Roman" w:hAnsi="Arial" w:cs="Arial"/>
          <w:sz w:val="18"/>
          <w:szCs w:val="18"/>
        </w:rPr>
        <w:t>_____________________</w:t>
      </w:r>
      <w:r w:rsidRPr="002A56DD">
        <w:rPr>
          <w:rFonts w:ascii="Arial" w:eastAsia="Times New Roman" w:hAnsi="Arial" w:cs="Arial"/>
          <w:sz w:val="18"/>
          <w:szCs w:val="18"/>
        </w:rPr>
        <w:t xml:space="preserve">g/L </w:t>
      </w:r>
    </w:p>
    <w:p w:rsidR="002A56DD" w:rsidRPr="002A56DD" w:rsidRDefault="002A56DD" w:rsidP="002A56DD">
      <w:pPr>
        <w:spacing w:before="200" w:after="100" w:line="240" w:lineRule="auto"/>
        <w:ind w:left="960" w:hanging="480"/>
        <w:rPr>
          <w:rFonts w:ascii="Arial" w:eastAsia="Times New Roman" w:hAnsi="Arial" w:cs="Arial"/>
          <w:sz w:val="18"/>
          <w:szCs w:val="18"/>
        </w:rPr>
      </w:pPr>
      <w:r w:rsidRPr="002A56DD">
        <w:rPr>
          <w:rFonts w:ascii="Arial" w:eastAsia="Times New Roman" w:hAnsi="Arial" w:cs="Arial"/>
          <w:sz w:val="18"/>
          <w:szCs w:val="18"/>
        </w:rPr>
        <w:t xml:space="preserve">ASTM </w:t>
      </w:r>
      <w:r w:rsidRPr="001C329C">
        <w:rPr>
          <w:rFonts w:ascii="Arial" w:eastAsia="Times New Roman" w:hAnsi="Arial" w:cs="Arial"/>
          <w:sz w:val="18"/>
          <w:szCs w:val="18"/>
        </w:rPr>
        <w:t>___________</w:t>
      </w:r>
      <w:r w:rsidRPr="002A56DD">
        <w:rPr>
          <w:rFonts w:ascii="Arial" w:eastAsia="Times New Roman" w:hAnsi="Arial" w:cs="Arial"/>
          <w:sz w:val="18"/>
          <w:szCs w:val="18"/>
        </w:rPr>
        <w:t xml:space="preserve"> [   ] Other</w:t>
      </w:r>
      <w:r w:rsidRPr="001C329C">
        <w:rPr>
          <w:rFonts w:ascii="Arial" w:eastAsia="Times New Roman" w:hAnsi="Arial" w:cs="Arial"/>
          <w:sz w:val="18"/>
          <w:szCs w:val="18"/>
          <w:vertAlign w:val="superscript"/>
        </w:rPr>
        <w:t>3</w:t>
      </w:r>
    </w:p>
    <w:p w:rsidR="002A56DD" w:rsidRPr="002A56DD" w:rsidRDefault="002A56DD" w:rsidP="002A56DD">
      <w:pPr>
        <w:spacing w:before="200" w:after="100" w:afterAutospacing="1" w:line="240" w:lineRule="auto"/>
        <w:rPr>
          <w:rFonts w:ascii="Arial" w:eastAsia="Times New Roman" w:hAnsi="Arial" w:cs="Arial"/>
          <w:sz w:val="18"/>
          <w:szCs w:val="18"/>
        </w:rPr>
      </w:pPr>
      <w:r w:rsidRPr="002A56DD">
        <w:rPr>
          <w:rFonts w:ascii="Arial" w:eastAsia="Times New Roman" w:hAnsi="Arial" w:cs="Arial"/>
          <w:sz w:val="18"/>
          <w:szCs w:val="18"/>
        </w:rPr>
        <w:t xml:space="preserve">Remarks: (use reverse side) </w:t>
      </w:r>
    </w:p>
    <w:p w:rsidR="002A56DD" w:rsidRPr="002A56DD" w:rsidRDefault="002A56DD" w:rsidP="002A56DD">
      <w:pPr>
        <w:spacing w:before="100" w:beforeAutospacing="1" w:after="100" w:afterAutospacing="1" w:line="240" w:lineRule="auto"/>
        <w:ind w:firstLine="480"/>
        <w:rPr>
          <w:rFonts w:ascii="Arial" w:eastAsia="Times New Roman" w:hAnsi="Arial" w:cs="Arial"/>
          <w:sz w:val="18"/>
          <w:szCs w:val="18"/>
        </w:rPr>
      </w:pPr>
      <w:r w:rsidRPr="002A56DD">
        <w:rPr>
          <w:rFonts w:ascii="Arial" w:eastAsia="Times New Roman" w:hAnsi="Arial" w:cs="Arial"/>
          <w:sz w:val="18"/>
          <w:szCs w:val="18"/>
        </w:rPr>
        <w:t xml:space="preserve">Signed: </w:t>
      </w:r>
      <w:r w:rsidRPr="001C329C">
        <w:rPr>
          <w:rFonts w:ascii="Arial" w:eastAsia="Times New Roman" w:hAnsi="Arial" w:cs="Arial"/>
          <w:sz w:val="18"/>
          <w:szCs w:val="18"/>
        </w:rPr>
        <w:t>___________________________________________________</w:t>
      </w:r>
      <w:r w:rsidRPr="002A56DD">
        <w:rPr>
          <w:rFonts w:ascii="Arial" w:eastAsia="Times New Roman" w:hAnsi="Arial" w:cs="Arial"/>
          <w:sz w:val="18"/>
          <w:szCs w:val="18"/>
        </w:rPr>
        <w:t xml:space="preserve"> Date: ______________</w:t>
      </w:r>
    </w:p>
    <w:p w:rsidR="00B02AF9" w:rsidRPr="001C329C" w:rsidRDefault="002A56DD" w:rsidP="002A56DD">
      <w:pPr>
        <w:spacing w:before="200" w:after="100" w:afterAutospacing="1" w:line="240" w:lineRule="auto"/>
        <w:rPr>
          <w:sz w:val="18"/>
          <w:szCs w:val="18"/>
        </w:rPr>
      </w:pPr>
      <w:r w:rsidRPr="002A56DD">
        <w:rPr>
          <w:rFonts w:ascii="Arial" w:eastAsia="Times New Roman" w:hAnsi="Arial" w:cs="Arial"/>
          <w:sz w:val="18"/>
          <w:szCs w:val="18"/>
        </w:rPr>
        <w:t>[60 FR 64336, Dec. 15, 1995, as amended at 65 FR 62216, Oct. 17, 2000]</w:t>
      </w:r>
    </w:p>
    <w:sectPr w:rsidR="00B02AF9" w:rsidRPr="001C329C" w:rsidSect="002A56DD">
      <w:footerReference w:type="default" r:id="rId6"/>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6DD" w:rsidRDefault="002A56DD" w:rsidP="002A56DD">
      <w:pPr>
        <w:spacing w:after="0" w:line="240" w:lineRule="auto"/>
      </w:pPr>
      <w:r>
        <w:separator/>
      </w:r>
    </w:p>
  </w:endnote>
  <w:endnote w:type="continuationSeparator" w:id="0">
    <w:p w:rsidR="002A56DD" w:rsidRDefault="002A56DD" w:rsidP="002A5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altName w:val="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095188"/>
      <w:docPartObj>
        <w:docPartGallery w:val="Page Numbers (Bottom of Page)"/>
        <w:docPartUnique/>
      </w:docPartObj>
    </w:sdtPr>
    <w:sdtContent>
      <w:p w:rsidR="002A56DD" w:rsidRDefault="002A56DD">
        <w:pPr>
          <w:pStyle w:val="Footer"/>
          <w:jc w:val="center"/>
        </w:pPr>
        <w:fldSimple w:instr=" PAGE   \* MERGEFORMAT ">
          <w:r w:rsidR="001C329C">
            <w:rPr>
              <w:noProof/>
            </w:rPr>
            <w:t>6</w:t>
          </w:r>
        </w:fldSimple>
      </w:p>
    </w:sdtContent>
  </w:sdt>
  <w:p w:rsidR="002A56DD" w:rsidRDefault="002A56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6DD" w:rsidRDefault="002A56DD" w:rsidP="002A56DD">
      <w:pPr>
        <w:spacing w:after="0" w:line="240" w:lineRule="auto"/>
      </w:pPr>
      <w:r>
        <w:separator/>
      </w:r>
    </w:p>
  </w:footnote>
  <w:footnote w:type="continuationSeparator" w:id="0">
    <w:p w:rsidR="002A56DD" w:rsidRDefault="002A56DD" w:rsidP="002A56D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F1F8C"/>
    <w:rsid w:val="001C329C"/>
    <w:rsid w:val="002A56DD"/>
    <w:rsid w:val="004500C6"/>
    <w:rsid w:val="004F1F8C"/>
    <w:rsid w:val="00B02AF9"/>
    <w:rsid w:val="00CE1F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AF9"/>
  </w:style>
  <w:style w:type="paragraph" w:styleId="Heading2">
    <w:name w:val="heading 2"/>
    <w:basedOn w:val="Normal"/>
    <w:link w:val="Heading2Char"/>
    <w:uiPriority w:val="9"/>
    <w:qFormat/>
    <w:rsid w:val="004F1F8C"/>
    <w:pPr>
      <w:spacing w:before="200" w:after="100" w:line="240" w:lineRule="auto"/>
      <w:jc w:val="center"/>
      <w:outlineLvl w:val="1"/>
    </w:pPr>
    <w:rPr>
      <w:rFonts w:ascii="Times New Roman" w:eastAsia="Times New Roman" w:hAnsi="Times New Roman" w:cs="Times New Roman"/>
      <w:b/>
      <w:bCs/>
      <w:sz w:val="10"/>
      <w:szCs w:val="1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1F8C"/>
    <w:pPr>
      <w:autoSpaceDE w:val="0"/>
      <w:autoSpaceDN w:val="0"/>
      <w:adjustRightInd w:val="0"/>
      <w:spacing w:after="0" w:line="240" w:lineRule="auto"/>
    </w:pPr>
    <w:rPr>
      <w:rFonts w:ascii="Times New Roman" w:hAnsi="Times New Roman" w:cs="Times New Roman"/>
      <w:color w:val="000000"/>
      <w:sz w:val="24"/>
      <w:szCs w:val="24"/>
    </w:rPr>
  </w:style>
  <w:style w:type="paragraph" w:styleId="Title">
    <w:name w:val="Title"/>
    <w:basedOn w:val="Default"/>
    <w:next w:val="Default"/>
    <w:link w:val="TitleChar"/>
    <w:uiPriority w:val="99"/>
    <w:qFormat/>
    <w:rsid w:val="004F1F8C"/>
    <w:rPr>
      <w:color w:val="auto"/>
    </w:rPr>
  </w:style>
  <w:style w:type="character" w:customStyle="1" w:styleId="TitleChar">
    <w:name w:val="Title Char"/>
    <w:basedOn w:val="DefaultParagraphFont"/>
    <w:link w:val="Title"/>
    <w:uiPriority w:val="99"/>
    <w:rsid w:val="004F1F8C"/>
    <w:rPr>
      <w:rFonts w:ascii="Times New Roman" w:hAnsi="Times New Roman" w:cs="Times New Roman"/>
      <w:sz w:val="24"/>
      <w:szCs w:val="24"/>
    </w:rPr>
  </w:style>
  <w:style w:type="paragraph" w:styleId="Subtitle">
    <w:name w:val="Subtitle"/>
    <w:basedOn w:val="Default"/>
    <w:next w:val="Default"/>
    <w:link w:val="SubtitleChar"/>
    <w:uiPriority w:val="99"/>
    <w:qFormat/>
    <w:rsid w:val="004F1F8C"/>
    <w:rPr>
      <w:color w:val="auto"/>
    </w:rPr>
  </w:style>
  <w:style w:type="character" w:customStyle="1" w:styleId="SubtitleChar">
    <w:name w:val="Subtitle Char"/>
    <w:basedOn w:val="DefaultParagraphFont"/>
    <w:link w:val="Subtitle"/>
    <w:uiPriority w:val="99"/>
    <w:rsid w:val="004F1F8C"/>
    <w:rPr>
      <w:rFonts w:ascii="Times New Roman" w:hAnsi="Times New Roman" w:cs="Times New Roman"/>
      <w:sz w:val="24"/>
      <w:szCs w:val="24"/>
    </w:rPr>
  </w:style>
  <w:style w:type="character" w:customStyle="1" w:styleId="Heading2Char">
    <w:name w:val="Heading 2 Char"/>
    <w:basedOn w:val="DefaultParagraphFont"/>
    <w:link w:val="Heading2"/>
    <w:uiPriority w:val="9"/>
    <w:rsid w:val="004F1F8C"/>
    <w:rPr>
      <w:rFonts w:ascii="Times New Roman" w:eastAsia="Times New Roman" w:hAnsi="Times New Roman" w:cs="Times New Roman"/>
      <w:b/>
      <w:bCs/>
      <w:sz w:val="10"/>
      <w:szCs w:val="10"/>
    </w:rPr>
  </w:style>
  <w:style w:type="character" w:styleId="Emphasis">
    <w:name w:val="Emphasis"/>
    <w:basedOn w:val="DefaultParagraphFont"/>
    <w:uiPriority w:val="20"/>
    <w:qFormat/>
    <w:rsid w:val="004F1F8C"/>
    <w:rPr>
      <w:i/>
      <w:iCs/>
    </w:rPr>
  </w:style>
  <w:style w:type="paragraph" w:customStyle="1" w:styleId="cita">
    <w:name w:val="cita"/>
    <w:basedOn w:val="Normal"/>
    <w:rsid w:val="00CE1FBC"/>
    <w:pPr>
      <w:spacing w:before="200" w:after="100" w:afterAutospacing="1" w:line="240" w:lineRule="auto"/>
    </w:pPr>
    <w:rPr>
      <w:rFonts w:ascii="Times New Roman" w:eastAsia="Times New Roman" w:hAnsi="Times New Roman" w:cs="Times New Roman"/>
      <w:sz w:val="9"/>
      <w:szCs w:val="9"/>
    </w:rPr>
  </w:style>
  <w:style w:type="paragraph" w:customStyle="1" w:styleId="gpotblnote">
    <w:name w:val="gpotbl_note"/>
    <w:basedOn w:val="Normal"/>
    <w:rsid w:val="00CE1FBC"/>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customStyle="1" w:styleId="su1">
    <w:name w:val="su1"/>
    <w:basedOn w:val="DefaultParagraphFont"/>
    <w:rsid w:val="002A56DD"/>
    <w:rPr>
      <w:smallCaps w:val="0"/>
      <w:sz w:val="17"/>
      <w:szCs w:val="17"/>
      <w:vertAlign w:val="superscript"/>
    </w:rPr>
  </w:style>
  <w:style w:type="paragraph" w:styleId="NoSpacing">
    <w:name w:val="No Spacing"/>
    <w:uiPriority w:val="1"/>
    <w:qFormat/>
    <w:rsid w:val="002A56DD"/>
    <w:pPr>
      <w:spacing w:after="0" w:line="240" w:lineRule="auto"/>
    </w:pPr>
  </w:style>
  <w:style w:type="paragraph" w:styleId="NormalWeb">
    <w:name w:val="Normal (Web)"/>
    <w:basedOn w:val="Normal"/>
    <w:uiPriority w:val="99"/>
    <w:semiHidden/>
    <w:unhideWhenUsed/>
    <w:rsid w:val="002A56DD"/>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
    <w:name w:val="fp"/>
    <w:basedOn w:val="Normal"/>
    <w:rsid w:val="002A56DD"/>
    <w:pPr>
      <w:spacing w:before="200" w:after="100" w:afterAutospacing="1" w:line="240" w:lineRule="auto"/>
    </w:pPr>
    <w:rPr>
      <w:rFonts w:ascii="Times New Roman" w:eastAsia="Times New Roman" w:hAnsi="Times New Roman" w:cs="Times New Roman"/>
      <w:sz w:val="24"/>
      <w:szCs w:val="24"/>
    </w:rPr>
  </w:style>
  <w:style w:type="paragraph" w:customStyle="1" w:styleId="fp-2">
    <w:name w:val="fp-2"/>
    <w:basedOn w:val="Normal"/>
    <w:rsid w:val="002A56DD"/>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2A56DD"/>
    <w:pPr>
      <w:spacing w:before="200" w:after="100" w:line="240" w:lineRule="auto"/>
      <w:ind w:left="960" w:hanging="480"/>
    </w:pPr>
    <w:rPr>
      <w:rFonts w:ascii="Times New Roman" w:eastAsia="Times New Roman" w:hAnsi="Times New Roman" w:cs="Times New Roman"/>
      <w:sz w:val="24"/>
      <w:szCs w:val="24"/>
    </w:rPr>
  </w:style>
  <w:style w:type="character" w:customStyle="1" w:styleId="fpdash">
    <w:name w:val="fpdash"/>
    <w:basedOn w:val="DefaultParagraphFont"/>
    <w:rsid w:val="002A56DD"/>
    <w:rPr>
      <w:shd w:val="clear" w:color="auto" w:fill="FFFFFF"/>
    </w:rPr>
  </w:style>
  <w:style w:type="paragraph" w:styleId="Header">
    <w:name w:val="header"/>
    <w:basedOn w:val="Normal"/>
    <w:link w:val="HeaderChar"/>
    <w:uiPriority w:val="99"/>
    <w:semiHidden/>
    <w:unhideWhenUsed/>
    <w:rsid w:val="002A56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A56DD"/>
  </w:style>
  <w:style w:type="paragraph" w:styleId="Footer">
    <w:name w:val="footer"/>
    <w:basedOn w:val="Normal"/>
    <w:link w:val="FooterChar"/>
    <w:uiPriority w:val="99"/>
    <w:unhideWhenUsed/>
    <w:rsid w:val="002A5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56DD"/>
  </w:style>
</w:styles>
</file>

<file path=word/webSettings.xml><?xml version="1.0" encoding="utf-8"?>
<w:webSettings xmlns:r="http://schemas.openxmlformats.org/officeDocument/2006/relationships" xmlns:w="http://schemas.openxmlformats.org/wordprocessingml/2006/main">
  <w:divs>
    <w:div w:id="709765181">
      <w:bodyDiv w:val="1"/>
      <w:marLeft w:val="0"/>
      <w:marRight w:val="0"/>
      <w:marTop w:val="30"/>
      <w:marBottom w:val="750"/>
      <w:divBdr>
        <w:top w:val="none" w:sz="0" w:space="0" w:color="auto"/>
        <w:left w:val="none" w:sz="0" w:space="0" w:color="auto"/>
        <w:bottom w:val="none" w:sz="0" w:space="0" w:color="auto"/>
        <w:right w:val="none" w:sz="0" w:space="0" w:color="auto"/>
      </w:divBdr>
      <w:divsChild>
        <w:div w:id="262301014">
          <w:marLeft w:val="0"/>
          <w:marRight w:val="0"/>
          <w:marTop w:val="0"/>
          <w:marBottom w:val="0"/>
          <w:divBdr>
            <w:top w:val="none" w:sz="0" w:space="0" w:color="auto"/>
            <w:left w:val="none" w:sz="0" w:space="0" w:color="auto"/>
            <w:bottom w:val="none" w:sz="0" w:space="0" w:color="auto"/>
            <w:right w:val="none" w:sz="0" w:space="0" w:color="auto"/>
          </w:divBdr>
          <w:divsChild>
            <w:div w:id="1965496515">
              <w:marLeft w:val="0"/>
              <w:marRight w:val="0"/>
              <w:marTop w:val="0"/>
              <w:marBottom w:val="0"/>
              <w:divBdr>
                <w:top w:val="none" w:sz="0" w:space="0" w:color="auto"/>
                <w:left w:val="none" w:sz="0" w:space="0" w:color="auto"/>
                <w:bottom w:val="none" w:sz="0" w:space="0" w:color="auto"/>
                <w:right w:val="none" w:sz="0" w:space="0" w:color="auto"/>
              </w:divBdr>
              <w:divsChild>
                <w:div w:id="1682734519">
                  <w:marLeft w:val="0"/>
                  <w:marRight w:val="0"/>
                  <w:marTop w:val="0"/>
                  <w:marBottom w:val="0"/>
                  <w:divBdr>
                    <w:top w:val="single" w:sz="12" w:space="0" w:color="000000"/>
                    <w:left w:val="single" w:sz="12" w:space="0" w:color="000000"/>
                    <w:bottom w:val="single" w:sz="12" w:space="0" w:color="000000"/>
                    <w:right w:val="single" w:sz="12" w:space="0" w:color="000000"/>
                  </w:divBdr>
                </w:div>
                <w:div w:id="196673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256901">
      <w:bodyDiv w:val="1"/>
      <w:marLeft w:val="0"/>
      <w:marRight w:val="0"/>
      <w:marTop w:val="16"/>
      <w:marBottom w:val="393"/>
      <w:divBdr>
        <w:top w:val="none" w:sz="0" w:space="0" w:color="auto"/>
        <w:left w:val="none" w:sz="0" w:space="0" w:color="auto"/>
        <w:bottom w:val="none" w:sz="0" w:space="0" w:color="auto"/>
        <w:right w:val="none" w:sz="0" w:space="0" w:color="auto"/>
      </w:divBdr>
      <w:divsChild>
        <w:div w:id="1026566916">
          <w:marLeft w:val="0"/>
          <w:marRight w:val="0"/>
          <w:marTop w:val="0"/>
          <w:marBottom w:val="0"/>
          <w:divBdr>
            <w:top w:val="none" w:sz="0" w:space="0" w:color="auto"/>
            <w:left w:val="none" w:sz="0" w:space="0" w:color="auto"/>
            <w:bottom w:val="none" w:sz="0" w:space="0" w:color="auto"/>
            <w:right w:val="none" w:sz="0" w:space="0" w:color="auto"/>
          </w:divBdr>
          <w:divsChild>
            <w:div w:id="741371723">
              <w:marLeft w:val="0"/>
              <w:marRight w:val="0"/>
              <w:marTop w:val="0"/>
              <w:marBottom w:val="0"/>
              <w:divBdr>
                <w:top w:val="none" w:sz="0" w:space="0" w:color="auto"/>
                <w:left w:val="none" w:sz="0" w:space="0" w:color="auto"/>
                <w:bottom w:val="none" w:sz="0" w:space="0" w:color="auto"/>
                <w:right w:val="none" w:sz="0" w:space="0" w:color="auto"/>
              </w:divBdr>
              <w:divsChild>
                <w:div w:id="1835877146">
                  <w:marLeft w:val="0"/>
                  <w:marRight w:val="0"/>
                  <w:marTop w:val="0"/>
                  <w:marBottom w:val="0"/>
                  <w:divBdr>
                    <w:top w:val="single" w:sz="6" w:space="0" w:color="000000"/>
                    <w:left w:val="single" w:sz="6" w:space="0" w:color="000000"/>
                    <w:bottom w:val="single" w:sz="6" w:space="0" w:color="000000"/>
                    <w:right w:val="single" w:sz="6" w:space="0" w:color="000000"/>
                  </w:divBdr>
                </w:div>
                <w:div w:id="139828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640289">
      <w:bodyDiv w:val="1"/>
      <w:marLeft w:val="0"/>
      <w:marRight w:val="0"/>
      <w:marTop w:val="16"/>
      <w:marBottom w:val="393"/>
      <w:divBdr>
        <w:top w:val="none" w:sz="0" w:space="0" w:color="auto"/>
        <w:left w:val="none" w:sz="0" w:space="0" w:color="auto"/>
        <w:bottom w:val="none" w:sz="0" w:space="0" w:color="auto"/>
        <w:right w:val="none" w:sz="0" w:space="0" w:color="auto"/>
      </w:divBdr>
      <w:divsChild>
        <w:div w:id="1418936690">
          <w:marLeft w:val="0"/>
          <w:marRight w:val="0"/>
          <w:marTop w:val="0"/>
          <w:marBottom w:val="0"/>
          <w:divBdr>
            <w:top w:val="none" w:sz="0" w:space="0" w:color="auto"/>
            <w:left w:val="none" w:sz="0" w:space="0" w:color="auto"/>
            <w:bottom w:val="none" w:sz="0" w:space="0" w:color="auto"/>
            <w:right w:val="none" w:sz="0" w:space="0" w:color="auto"/>
          </w:divBdr>
          <w:divsChild>
            <w:div w:id="142939687">
              <w:marLeft w:val="0"/>
              <w:marRight w:val="0"/>
              <w:marTop w:val="0"/>
              <w:marBottom w:val="0"/>
              <w:divBdr>
                <w:top w:val="none" w:sz="0" w:space="0" w:color="auto"/>
                <w:left w:val="none" w:sz="0" w:space="0" w:color="auto"/>
                <w:bottom w:val="none" w:sz="0" w:space="0" w:color="auto"/>
                <w:right w:val="none" w:sz="0" w:space="0" w:color="auto"/>
              </w:divBdr>
              <w:divsChild>
                <w:div w:id="1298561009">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1508908724">
      <w:bodyDiv w:val="1"/>
      <w:marLeft w:val="0"/>
      <w:marRight w:val="0"/>
      <w:marTop w:val="16"/>
      <w:marBottom w:val="393"/>
      <w:divBdr>
        <w:top w:val="none" w:sz="0" w:space="0" w:color="auto"/>
        <w:left w:val="none" w:sz="0" w:space="0" w:color="auto"/>
        <w:bottom w:val="none" w:sz="0" w:space="0" w:color="auto"/>
        <w:right w:val="none" w:sz="0" w:space="0" w:color="auto"/>
      </w:divBdr>
      <w:divsChild>
        <w:div w:id="2004237972">
          <w:marLeft w:val="0"/>
          <w:marRight w:val="0"/>
          <w:marTop w:val="0"/>
          <w:marBottom w:val="0"/>
          <w:divBdr>
            <w:top w:val="none" w:sz="0" w:space="0" w:color="auto"/>
            <w:left w:val="none" w:sz="0" w:space="0" w:color="auto"/>
            <w:bottom w:val="none" w:sz="0" w:space="0" w:color="auto"/>
            <w:right w:val="none" w:sz="0" w:space="0" w:color="auto"/>
          </w:divBdr>
          <w:divsChild>
            <w:div w:id="425538265">
              <w:marLeft w:val="0"/>
              <w:marRight w:val="0"/>
              <w:marTop w:val="173"/>
              <w:marBottom w:val="0"/>
              <w:divBdr>
                <w:top w:val="single" w:sz="2" w:space="0" w:color="000000"/>
                <w:left w:val="none" w:sz="0" w:space="0" w:color="auto"/>
                <w:bottom w:val="none" w:sz="0" w:space="0" w:color="auto"/>
                <w:right w:val="none" w:sz="0" w:space="0" w:color="auto"/>
              </w:divBdr>
            </w:div>
            <w:div w:id="1000423674">
              <w:marLeft w:val="0"/>
              <w:marRight w:val="0"/>
              <w:marTop w:val="173"/>
              <w:marBottom w:val="0"/>
              <w:divBdr>
                <w:top w:val="single" w:sz="2" w:space="0" w:color="000000"/>
                <w:left w:val="none" w:sz="0" w:space="0" w:color="auto"/>
                <w:bottom w:val="none" w:sz="0" w:space="0" w:color="auto"/>
                <w:right w:val="none" w:sz="0" w:space="0" w:color="auto"/>
              </w:divBdr>
            </w:div>
            <w:div w:id="1460605631">
              <w:marLeft w:val="0"/>
              <w:marRight w:val="0"/>
              <w:marTop w:val="173"/>
              <w:marBottom w:val="0"/>
              <w:divBdr>
                <w:top w:val="single" w:sz="2" w:space="0" w:color="000000"/>
                <w:left w:val="none" w:sz="0" w:space="0" w:color="auto"/>
                <w:bottom w:val="none" w:sz="0" w:space="0" w:color="auto"/>
                <w:right w:val="none" w:sz="0" w:space="0" w:color="auto"/>
              </w:divBdr>
            </w:div>
            <w:div w:id="697893499">
              <w:marLeft w:val="0"/>
              <w:marRight w:val="0"/>
              <w:marTop w:val="173"/>
              <w:marBottom w:val="0"/>
              <w:divBdr>
                <w:top w:val="single" w:sz="2" w:space="0" w:color="000000"/>
                <w:left w:val="none" w:sz="0" w:space="0" w:color="auto"/>
                <w:bottom w:val="none" w:sz="0" w:space="0" w:color="auto"/>
                <w:right w:val="none" w:sz="0" w:space="0" w:color="auto"/>
              </w:divBdr>
            </w:div>
            <w:div w:id="1048650847">
              <w:marLeft w:val="0"/>
              <w:marRight w:val="0"/>
              <w:marTop w:val="0"/>
              <w:marBottom w:val="0"/>
              <w:divBdr>
                <w:top w:val="none" w:sz="0" w:space="0" w:color="auto"/>
                <w:left w:val="none" w:sz="0" w:space="0" w:color="auto"/>
                <w:bottom w:val="none" w:sz="0" w:space="0" w:color="auto"/>
                <w:right w:val="none" w:sz="0" w:space="0" w:color="auto"/>
              </w:divBdr>
            </w:div>
            <w:div w:id="1968898619">
              <w:marLeft w:val="0"/>
              <w:marRight w:val="0"/>
              <w:marTop w:val="0"/>
              <w:marBottom w:val="0"/>
              <w:divBdr>
                <w:top w:val="none" w:sz="0" w:space="0" w:color="auto"/>
                <w:left w:val="none" w:sz="0" w:space="0" w:color="auto"/>
                <w:bottom w:val="none" w:sz="0" w:space="0" w:color="auto"/>
                <w:right w:val="none" w:sz="0" w:space="0" w:color="auto"/>
              </w:divBdr>
            </w:div>
            <w:div w:id="439254188">
              <w:marLeft w:val="0"/>
              <w:marRight w:val="0"/>
              <w:marTop w:val="0"/>
              <w:marBottom w:val="0"/>
              <w:divBdr>
                <w:top w:val="none" w:sz="0" w:space="0" w:color="auto"/>
                <w:left w:val="none" w:sz="0" w:space="0" w:color="auto"/>
                <w:bottom w:val="none" w:sz="0" w:space="0" w:color="auto"/>
                <w:right w:val="none" w:sz="0" w:space="0" w:color="auto"/>
              </w:divBdr>
            </w:div>
            <w:div w:id="9949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1631</Words>
  <Characters>9300</Characters>
  <Application>Microsoft Office Word</Application>
  <DocSecurity>0</DocSecurity>
  <Lines>77</Lines>
  <Paragraphs>21</Paragraphs>
  <ScaleCrop>false</ScaleCrop>
  <Company>Northeast District</Company>
  <LinksUpToDate>false</LinksUpToDate>
  <CharactersWithSpaces>10910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6</cp:revision>
  <dcterms:created xsi:type="dcterms:W3CDTF">2014-01-31T15:46:00Z</dcterms:created>
  <dcterms:modified xsi:type="dcterms:W3CDTF">2014-01-31T16:01:00Z</dcterms:modified>
</cp:coreProperties>
</file>